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after="312"/>
        <w:jc w:val="center"/>
        <w:rPr>
          <w:rFonts w:ascii="华文中宋" w:hAnsi="华文中宋" w:eastAsia="华文中宋"/>
          <w:b/>
          <w:sz w:val="28"/>
          <w:szCs w:val="28"/>
        </w:rPr>
      </w:pPr>
      <w:r>
        <w:rPr>
          <w:rFonts w:hint="eastAsia" w:ascii="华文中宋" w:hAnsi="华文中宋" w:eastAsia="华文中宋"/>
          <w:b/>
          <w:sz w:val="28"/>
          <w:szCs w:val="28"/>
        </w:rPr>
        <w:t>党风廉政建设学习资料</w:t>
      </w:r>
    </w:p>
    <w:p>
      <w:pPr>
        <w:jc w:val="center"/>
        <w:rPr>
          <w:rFonts w:ascii="黑体" w:hAnsi="宋体" w:eastAsia="黑体"/>
          <w:b/>
          <w:sz w:val="28"/>
          <w:szCs w:val="28"/>
        </w:rPr>
      </w:pPr>
    </w:p>
    <w:p>
      <w:pPr>
        <w:pBdr>
          <w:bottom w:val="single" w:color="auto" w:sz="12" w:space="1"/>
        </w:pBdr>
        <w:jc w:val="left"/>
        <w:rPr>
          <w:rFonts w:ascii="楷体" w:hAnsi="楷体" w:eastAsia="楷体"/>
          <w:b/>
          <w:sz w:val="28"/>
          <w:szCs w:val="28"/>
        </w:rPr>
      </w:pPr>
      <w:r>
        <w:rPr>
          <w:rFonts w:hint="eastAsia" w:ascii="楷体" w:hAnsi="楷体" w:eastAsia="楷体"/>
          <w:b/>
          <w:sz w:val="28"/>
          <w:szCs w:val="28"/>
          <w:lang w:eastAsia="zh-CN"/>
        </w:rPr>
        <w:t>吉首大学商学院党政</w:t>
      </w:r>
      <w:r>
        <w:rPr>
          <w:rFonts w:hint="eastAsia" w:ascii="楷体" w:hAnsi="楷体" w:eastAsia="楷体"/>
          <w:b/>
          <w:sz w:val="28"/>
          <w:szCs w:val="28"/>
        </w:rPr>
        <w:t xml:space="preserve">办公室编       </w:t>
      </w:r>
      <w:r>
        <w:rPr>
          <w:rFonts w:hint="eastAsia" w:ascii="楷体" w:hAnsi="楷体" w:eastAsia="楷体"/>
          <w:b/>
          <w:sz w:val="28"/>
          <w:szCs w:val="28"/>
          <w:lang w:val="en-US" w:eastAsia="zh-CN"/>
        </w:rPr>
        <w:t xml:space="preserve">      </w:t>
      </w:r>
      <w:r>
        <w:rPr>
          <w:rFonts w:hint="eastAsia" w:ascii="楷体" w:hAnsi="楷体" w:eastAsia="楷体"/>
          <w:b/>
          <w:sz w:val="28"/>
          <w:szCs w:val="28"/>
        </w:rPr>
        <w:t xml:space="preserve"> 2019年11月</w:t>
      </w:r>
      <w:r>
        <w:rPr>
          <w:rFonts w:hint="eastAsia" w:ascii="楷体" w:hAnsi="楷体" w:eastAsia="楷体"/>
          <w:b/>
          <w:sz w:val="28"/>
          <w:szCs w:val="28"/>
          <w:lang w:val="en-US" w:eastAsia="zh-CN"/>
        </w:rPr>
        <w:t>1</w:t>
      </w:r>
      <w:r>
        <w:rPr>
          <w:rFonts w:hint="eastAsia" w:ascii="楷体" w:hAnsi="楷体" w:eastAsia="楷体"/>
          <w:b/>
          <w:sz w:val="28"/>
          <w:szCs w:val="28"/>
        </w:rPr>
        <w:t>5日</w:t>
      </w:r>
    </w:p>
    <w:p>
      <w:pPr>
        <w:jc w:val="left"/>
        <w:rPr>
          <w:rFonts w:ascii="黑体" w:hAnsi="黑体" w:eastAsia="黑体"/>
          <w:b/>
          <w:kern w:val="28"/>
          <w:sz w:val="28"/>
          <w:szCs w:val="28"/>
        </w:rPr>
      </w:pPr>
    </w:p>
    <w:p>
      <w:pPr>
        <w:jc w:val="left"/>
        <w:rPr>
          <w:rFonts w:ascii="黑体" w:hAnsi="黑体" w:eastAsia="黑体"/>
          <w:b/>
          <w:kern w:val="28"/>
          <w:sz w:val="28"/>
          <w:szCs w:val="28"/>
        </w:rPr>
      </w:pPr>
    </w:p>
    <w:p>
      <w:pPr>
        <w:spacing w:line="360" w:lineRule="auto"/>
        <w:jc w:val="left"/>
        <w:rPr>
          <w:rFonts w:ascii="仿宋_GB2312" w:hAnsi="仿宋" w:eastAsia="仿宋_GB2312" w:cs="Courier New"/>
          <w:b/>
          <w:sz w:val="28"/>
          <w:szCs w:val="28"/>
        </w:rPr>
      </w:pPr>
      <w:r>
        <w:rPr>
          <w:rFonts w:hint="eastAsia" w:ascii="黑体" w:hAnsi="黑体" w:eastAsia="黑体"/>
          <w:b/>
          <w:kern w:val="28"/>
          <w:sz w:val="28"/>
          <w:szCs w:val="28"/>
        </w:rPr>
        <w:t>● 学习内容</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一、党的十九届四中全会《决定》全文</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二、2019年9月全省查处违反中央八项规定精神问题250起</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三、中央纪委国家监委通报2019年1至9月全国纪检监察机关监督检查、审查调查情况</w:t>
      </w:r>
    </w:p>
    <w:p>
      <w:pPr>
        <w:tabs>
          <w:tab w:val="center" w:leader="middleDot" w:pos="8400"/>
        </w:tabs>
        <w:snapToGrid w:val="0"/>
        <w:spacing w:line="360" w:lineRule="auto"/>
        <w:jc w:val="left"/>
        <w:rPr>
          <w:rFonts w:ascii="仿宋" w:hAnsi="仿宋" w:eastAsia="仿宋"/>
          <w:b/>
          <w:bCs/>
          <w:sz w:val="28"/>
          <w:szCs w:val="28"/>
        </w:rPr>
      </w:pPr>
      <w:r>
        <w:rPr>
          <w:rFonts w:hint="eastAsia" w:ascii="仿宋" w:hAnsi="仿宋" w:eastAsia="仿宋"/>
          <w:b/>
          <w:bCs/>
          <w:sz w:val="28"/>
          <w:szCs w:val="28"/>
        </w:rPr>
        <w:t>四、案件剖析：答错“公与私”考题的高校自考办主任</w:t>
      </w: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spacing w:line="360" w:lineRule="auto"/>
        <w:rPr>
          <w:rFonts w:ascii="楷体" w:hAnsi="楷体" w:eastAsia="楷体"/>
          <w:b/>
          <w:sz w:val="28"/>
          <w:szCs w:val="28"/>
        </w:rPr>
      </w:pPr>
      <w:bookmarkStart w:id="0" w:name="_GoBack"/>
      <w:bookmarkEnd w:id="0"/>
    </w:p>
    <w:p>
      <w:pPr>
        <w:spacing w:line="360" w:lineRule="auto"/>
        <w:jc w:val="center"/>
        <w:rPr>
          <w:rFonts w:ascii="黑体" w:hAnsi="黑体" w:eastAsia="黑体"/>
          <w:sz w:val="44"/>
          <w:szCs w:val="44"/>
        </w:rPr>
      </w:pPr>
      <w:r>
        <w:rPr>
          <w:rFonts w:ascii="楷体" w:hAnsi="楷体" w:eastAsia="楷体"/>
          <w:b/>
          <w:sz w:val="28"/>
          <w:szCs w:val="28"/>
        </w:rPr>
        <w:br w:type="page"/>
      </w:r>
      <w:r>
        <w:rPr>
          <w:rFonts w:hint="eastAsia" w:ascii="黑体" w:hAnsi="黑体" w:eastAsia="黑体"/>
          <w:sz w:val="44"/>
          <w:szCs w:val="44"/>
        </w:rPr>
        <w:t>中共中央关于坚持和完善中国特色社会主义制度　推进国家治理体系和治理能力现代化若干重大问题的决定</w:t>
      </w:r>
    </w:p>
    <w:p>
      <w:pPr>
        <w:spacing w:line="360" w:lineRule="auto"/>
        <w:jc w:val="center"/>
        <w:rPr>
          <w:rFonts w:ascii="黑体" w:hAnsi="黑体" w:eastAsia="黑体"/>
          <w:sz w:val="32"/>
          <w:szCs w:val="32"/>
        </w:rPr>
      </w:pPr>
      <w:r>
        <w:rPr>
          <w:rFonts w:hint="eastAsia" w:ascii="黑体" w:hAnsi="黑体" w:eastAsia="黑体"/>
          <w:sz w:val="32"/>
          <w:szCs w:val="32"/>
        </w:rPr>
        <w:t>（2019年10月31日中国共产党第十九届中央委员会第四次全体会议通过）</w:t>
      </w:r>
    </w:p>
    <w:p>
      <w:pPr>
        <w:spacing w:line="360" w:lineRule="auto"/>
        <w:jc w:val="center"/>
        <w:rPr>
          <w:rFonts w:eastAsia="仿宋_GB2312"/>
          <w:sz w:val="28"/>
          <w:szCs w:val="28"/>
        </w:rPr>
      </w:pPr>
      <w:r>
        <w:rPr>
          <w:rFonts w:hint="eastAsia" w:eastAsia="仿宋_GB2312"/>
          <w:sz w:val="28"/>
          <w:szCs w:val="28"/>
        </w:rPr>
        <w:t>信息来源：新华社　　</w:t>
      </w:r>
    </w:p>
    <w:p>
      <w:pPr>
        <w:widowControl/>
        <w:shd w:val="clear" w:color="auto" w:fill="FFFFFF"/>
        <w:spacing w:before="75" w:after="100" w:afterAutospacing="1"/>
        <w:ind w:firstLine="480" w:firstLineChars="200"/>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为贯彻落实党的十九大精神，十九届中央委员会第四次全体会议着重研究了坚持和完善中国特色社会主义制度、推进国家治理体系和治理能力现代化的若干重大问题，作出如下决定。</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一、坚持和完善中国特色社会主义制度、推进国家治理体系和治理能力现代化的重大意义和总体要求</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二、坚持和完善党的领导制度体系，提高党科学执政、民主执政、依法执政水平</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中国共产党领导是中国特色社会主义最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建立不忘初心、牢记使命的制度。确保全党遵守党章，恪守党的性质和宗旨，坚持用共产主义远大理想和中国特色社会主义共同理想凝聚全党、团结人民，用习近平新时代中国特色社会主义思想武装全党、教育人民、指导工作，夯实党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完善坚定维护党中央权威和集中统一领导的各项制度。推动全党增强“四个意识”、坚定“四个自信”、做到“两个维护”，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党的领导贯彻到党和国家所有机构履行职责全过程，推动各方面协调行动、增强合力。</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健全为人民执政、靠人民执政各项制度。坚持立党为公、执政为民，保持党同人民群众的血肉联系，把尊重民意、汇集民智、凝聚民力、改善民生贯穿党治国理政全部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六）完善全面从严治党制度。坚持党要管党、全面从严治党，增强忧患意识，不断推进党的自我革命，永葆党的先进性和纯洁性。贯彻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三、坚持和完善人民当家作主制度体系，发展社会主义民主政治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人大产生、对人大负责、受人大监督。支持和保证人大及其常委会依法行使职权，健全人大对“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巩固和发展最广泛的爱国统一战线。坚持大统战工作格局，坚持一致性和多样性统一，完善照顾同盟者利益政策，做好民族工作和宗教工作，健全党外代表人士队伍建设制度，凝聚港澳同胞、台湾同胞、海外侨胞力量，谋求最大公约数，画出最大同心圆，促进政党关系、民族关系、宗教关系、阶层关系、海内外同胞关系和谐。</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坚持和完善民族区域自治制度。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四、坚持和完善中国特色社会主义法治体系，提高党依法治国、依法执政能力</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完善立法体制机制。坚持科学立法、民主立法、依法立法，完善党委领导、人大主导、政府依托、各方参与的立法工作格局，立改废释并举，不断提高立法质量和效率。完善以宪法为核心的中国特色社会主义法律体系，加强重要领域立法，加快我国法域外适用的法律体系建设，以良法保障善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健全社会公平正义法治保障制度。坚持法治建设为了人民、依靠人民，加强人权法治保障，保证人民依法享有广泛的权利和自由、承担应尽的义务，引导全体人民做社会主义法治的忠实崇尚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加强对法律实施的监督。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五、坚持和完善中国特色社会主义行政体制，构建职责明确、依法行政的政府治理体系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完善国家行政体制。以推进国家机构职能优化协同高效为着力点，优化行政决策、行政执行、行政组织、行政监督体制。健全部门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服务平台建设，健全强有力的行政执行系统，提高政府执行力和公信力。</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优化政府职责体系。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健全充分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六、坚持和完善社会主义基本经济制度，推动经济高质量发展</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毫不动摇巩固和发展公有制经济，毫不动摇鼓励、支持、引导非公有制经济发展。探索公有制多种实现形式，推进国有经济布局优化和结构调整，发展混合所有制经济，增强国有经济竞争力、创新力、控制力、影响力、抗风险能力，做强做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经济人士健康成长。营造各种所有制主体依法平等使用资源要素、公开公平公正参与竞争、同等受到法律保护的市场环境。深化农村集体产权制度改革，发展农村集体经济，完善农村基本经营制度。</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收入，增加低收入者收入，扩大中等收入群体，调节过高收入，清理规范隐性收入，取缔非法收入。</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完善科技创新体制机制。弘扬科学精神和工匠精神，加快建设创新型国家，强化国家战略科技力量，健全国家实验室体系，构建社会主义市场经济条件下关键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七、坚持和完善繁荣发展社会主义先进文化的制度，巩固全体人民团结奋斗的共同思想基础</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坚持马克思主义在意识形态领域指导地位的根本制度。全面贯彻落实习近平新时代中国特色社会主义思想，健全用党的创新理论武装全党、教育人民工作体系，完善党委（党组）理论学习中心组等各层级学习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完善坚持正确导向的舆论引导工作机制。坚持党管媒体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八、坚持和完善统筹城乡的民生保障制度，满足人民日益增长的美好生活需要</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增进人民福祉、促进人的全面发展是我们党立党为公、执政为民的本质要求。必须健全幼有所育、学有所教、劳有所得、病有所医、老有所养、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健全有利于更充分更高质量就业的促进机制。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构建服务全民终身学习的教育体系。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完善覆盖全民的社会保障体系。坚持应保尽保原则，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强化提高人民健康水平的制度保障。坚持关注生命全周期、健康全过程，完善国民健康政策，让广大人民群众享有公平可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健全重特大疾病医疗保险和救助制度。优化生育政策，提高人口质量。积极应对人口老龄化，加快建设居家社区机构相协调、医养康养相结合的养老服务体系。聚焦增强人民体质，健全促进全民健身制度性举措。</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九、坚持和完善共建共治共享的社会治理制度，保持社会稳定、维护国家安全</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完善正确处理新形势下人民内部矛盾有效机制。坚持和发展新时代“枫桥经验”，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健全公共安全体制机制。完善和落实安全生产责任和管理制度，建立公共安全隐患排查和安全预防控制体系。构建统一指挥、专常兼备、反应灵敏、上下联动的应急管理体制，优化国家应急管理能力体系建设，提高防灾减灾救灾能力。加强和改进食品药品安全监管制度，保障人民身体健康和生命安全。</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构建基层社会治理新格局。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兴边富民。</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研判、防控协同、防范化解机制。提高防范抵御国家安全风险能力，高度警惕、坚决防范和严厉打击敌对势力渗透、破坏、颠覆、分裂活动。</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十、坚持和完善生态文明制度体系，促进人与自然和谐共生</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十一、坚持和完善党对人民军队的绝对领导制度，确保人民军队忠实履行新时代使命任务</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坚持人民军队最高领导权和指挥权属于党中央。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健全人民军队党的建设制度体系。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十二、坚持和完善“一国两制”制度体系，推进祖国和平统一</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国两制”是党领导人民实现祖国和平统一的一项重要制度，是中国特色社会主义的一个伟大创举。必须坚持“一国”是实行“两制”的前提和基础，“两制”从属和派生于“一国”并统一于“一国”之内。严格依照宪法和基本法对香港特别行政区、澳门特别行政区实行管治，坚定维护国家主权、安全、发展利益，维护香港、澳门长期繁荣稳定，绝不容忍任何挑战“一国两制”底线的行为，绝不容忍任何分裂国家的行为。</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全面准确贯彻“一国两制”、“港人治港”、“澳人治澳”、高度自治的方针。坚持依法治港治澳，维护宪法和基本法确定的宪制秩序，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健全中央依照宪法和基本法对特别行政区行使全面管治权的制度。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十三、坚持和完善独立自主的和平外交政策，推动构建人类命运共同体</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推动党和国家事业发展需要和平国际环境和良好外部条件。必须统筹国内国际两个大局，高举和平、发展、合作、共赢旗帜，坚定不移维护国家主权、安全、发展利益，坚定不移维护世界和平、促进共同发展。</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国际法研究和运用，提高涉外工作法治化水平。</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远不搞扩张，永远做维护世界和平的坚定力量。</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推进合作共赢的开放体系建设。坚持互利共赢的开放战略，推动共建“一带一路”高质量发展，维护完善多边贸易体制，推动贸易和投资自由化便利化，推动构建面向全球的高标准自由贸易区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十四、坚持和完善党和国家监督体系，强化对权力运行的制约和监督</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一）健全党和国家监督制度。完善党内监督体系，落实各级党组织监督责任，保障党员监督权利。重点加强对高级干部、各级主要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二）完善权力配置和运行制约机制。坚持权责法定，健全分事行权、分岗设权、分级授权、定期轮岗制度，明晰权力边界，规范工作流程，强化权力制约。坚持权责透明，推动用权公开，完善党务、政务、司法和各领域办事公开制度，建立权力运行可查询、可追溯的反馈机制。坚持权责统一，盯紧权力运行各个环节，完善发现问题、纠正偏差、精准问责有效机制，压减权力设租寻租空间。</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三）构建一体推进不敢腐、不能腐、不想腐体制机制。坚定不移推进反腐败斗争，坚决查处政治问题和经济问题交织的腐败案件，坚决斩断“围猎”和甘于被“围猎”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十五、加强党对坚持和完善中国特色社会主义制度、推进国家治理体系和治理能力现代化的领导</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推进全面深化改革，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p>
      <w:pPr>
        <w:widowControl/>
        <w:shd w:val="clear" w:color="auto" w:fill="FFFFFF"/>
        <w:spacing w:before="75" w:after="100" w:afterAutospacing="1"/>
        <w:jc w:val="center"/>
        <w:rPr>
          <w:rFonts w:ascii="微软雅黑" w:hAnsi="微软雅黑" w:eastAsia="微软雅黑" w:cs="宋体"/>
          <w:color w:val="333333"/>
          <w:kern w:val="0"/>
          <w:sz w:val="24"/>
        </w:rPr>
      </w:pPr>
      <w:r>
        <w:rPr>
          <w:rFonts w:ascii="微软雅黑" w:hAnsi="微软雅黑" w:eastAsia="微软雅黑" w:cs="宋体"/>
          <w:color w:val="333333"/>
          <w:kern w:val="0"/>
          <w:sz w:val="24"/>
        </w:rPr>
        <w:br w:type="page"/>
      </w:r>
      <w:r>
        <w:rPr>
          <w:rFonts w:hint="eastAsia" w:ascii="微软雅黑" w:hAnsi="微软雅黑" w:eastAsia="微软雅黑"/>
          <w:b/>
          <w:bCs/>
          <w:color w:val="B10000"/>
          <w:kern w:val="36"/>
          <w:sz w:val="36"/>
          <w:szCs w:val="36"/>
        </w:rPr>
        <w:t>2019年9月全省查处违反中央八项规定精神问题250起</w:t>
      </w:r>
    </w:p>
    <w:p>
      <w:pPr>
        <w:spacing w:after="312" w:afterLines="100"/>
        <w:jc w:val="center"/>
        <w:rPr>
          <w:rFonts w:ascii="Calibri" w:hAnsi="Calibri"/>
          <w:sz w:val="24"/>
        </w:rPr>
      </w:pPr>
      <w:r>
        <w:rPr>
          <w:rFonts w:hint="eastAsia" w:ascii="Calibri" w:hAnsi="Calibri"/>
          <w:sz w:val="24"/>
        </w:rPr>
        <w:t>信息来源：清风扬帆网</w:t>
      </w:r>
    </w:p>
    <w:p>
      <w:pPr>
        <w:jc w:val="center"/>
        <w:rPr>
          <w:rFonts w:ascii="Calibri" w:hAnsi="Calibri"/>
          <w:sz w:val="24"/>
        </w:rPr>
      </w:pPr>
      <w:r>
        <w:rPr>
          <w:rFonts w:ascii="Calibri" w:hAnsi="Calibri"/>
          <w:sz w:val="24"/>
        </w:rPr>
        <w:drawing>
          <wp:inline distT="0" distB="0" distL="0" distR="0">
            <wp:extent cx="5273675" cy="30054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3675" cy="3005455"/>
                    </a:xfrm>
                    <a:prstGeom prst="rect">
                      <a:avLst/>
                    </a:prstGeom>
                    <a:noFill/>
                  </pic:spPr>
                </pic:pic>
              </a:graphicData>
            </a:graphic>
          </wp:inline>
        </w:drawing>
      </w:r>
    </w:p>
    <w:p>
      <w:pPr>
        <w:widowControl/>
        <w:shd w:val="clear" w:color="auto" w:fill="FFFFFF"/>
        <w:spacing w:before="75" w:after="100" w:afterAutospacing="1"/>
        <w:ind w:firstLine="48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为掌握全省贯彻落实中央八项规定和省委十项规定精神情况，江苏省纪委在设区市、省级机关部门、省属国有企业和高校等建立了落实中央八项规定精神情况月报制度。</w:t>
      </w:r>
    </w:p>
    <w:p>
      <w:pPr>
        <w:widowControl/>
        <w:shd w:val="clear" w:color="auto" w:fill="FFFFFF"/>
        <w:spacing w:before="75" w:after="100" w:afterAutospacing="1"/>
        <w:ind w:firstLine="480"/>
        <w:jc w:val="left"/>
        <w:rPr>
          <w:rFonts w:ascii="微软雅黑" w:hAnsi="微软雅黑" w:eastAsia="微软雅黑" w:cs="宋体"/>
          <w:color w:val="333333"/>
          <w:kern w:val="0"/>
          <w:sz w:val="24"/>
        </w:rPr>
      </w:pPr>
      <w:r>
        <w:rPr>
          <w:rFonts w:hint="eastAsia" w:ascii="仿宋" w:hAnsi="仿宋" w:eastAsia="仿宋" w:cs="宋体"/>
          <w:color w:val="333333"/>
          <w:kern w:val="0"/>
          <w:sz w:val="28"/>
          <w:szCs w:val="28"/>
        </w:rPr>
        <w:t>2019年9月，全省共查处违反中央八项规定精神问题250起，处理377人，其中给予党纪政务处分306人。从处理干部级别看，查处县处级干部23人、乡科级及以下干部354人。从查处问题类型看，违规发放津补贴或福利问题最为突出，有69起；其次是违规公款吃喝和违规收送礼品礼金问题，分别为60起、46起。这3类问题占到查处问题总数的70.0%。</w:t>
      </w:r>
    </w:p>
    <w:p>
      <w:pPr>
        <w:pStyle w:val="7"/>
        <w:shd w:val="clear" w:color="auto" w:fill="FFFFFF"/>
        <w:spacing w:before="0" w:beforeAutospacing="0" w:after="0" w:afterAutospacing="0" w:line="360" w:lineRule="auto"/>
        <w:outlineLvl w:val="2"/>
        <w:rPr>
          <w:rFonts w:eastAsia="仿宋_GB2312"/>
          <w:szCs w:val="32"/>
        </w:rPr>
      </w:pPr>
      <w:r>
        <w:rPr>
          <w:rFonts w:ascii="黑体" w:hAnsi="黑体" w:eastAsia="黑体"/>
          <w:b/>
          <w:kern w:val="28"/>
          <w:sz w:val="28"/>
          <w:szCs w:val="28"/>
        </w:rPr>
        <w:br w:type="page"/>
      </w:r>
    </w:p>
    <w:p>
      <w:pPr>
        <w:adjustRightInd w:val="0"/>
        <w:snapToGrid w:val="0"/>
        <w:spacing w:line="580" w:lineRule="exact"/>
        <w:ind w:right="525" w:rightChars="250"/>
        <w:jc w:val="center"/>
        <w:rPr>
          <w:rFonts w:eastAsia="方正小标宋简体"/>
          <w:sz w:val="44"/>
          <w:szCs w:val="44"/>
        </w:rPr>
      </w:pPr>
      <w:r>
        <w:rPr>
          <w:rFonts w:hint="eastAsia" w:eastAsia="方正小标宋简体"/>
          <w:sz w:val="44"/>
          <w:szCs w:val="44"/>
        </w:rPr>
        <w:t xml:space="preserve">  中央纪委国家监委通报2019年1至9月全国纪检监察机关监督检查、审查调查情况</w:t>
      </w:r>
    </w:p>
    <w:p>
      <w:pPr>
        <w:adjustRightInd w:val="0"/>
        <w:snapToGrid w:val="0"/>
        <w:spacing w:line="580" w:lineRule="exact"/>
        <w:ind w:right="525" w:rightChars="250"/>
        <w:jc w:val="center"/>
        <w:rPr>
          <w:rFonts w:eastAsia="仿宋_GB2312"/>
          <w:sz w:val="28"/>
          <w:szCs w:val="28"/>
        </w:rPr>
      </w:pPr>
      <w:r>
        <w:rPr>
          <w:rFonts w:hint="eastAsia" w:eastAsia="仿宋_GB2312"/>
          <w:sz w:val="28"/>
          <w:szCs w:val="28"/>
        </w:rPr>
        <w:t>信息来源：中央纪委国家监委网站</w:t>
      </w:r>
    </w:p>
    <w:p>
      <w:pPr>
        <w:adjustRightInd w:val="0"/>
        <w:snapToGrid w:val="0"/>
        <w:spacing w:line="580" w:lineRule="exact"/>
        <w:ind w:right="525" w:rightChars="250"/>
        <w:jc w:val="center"/>
        <w:rPr>
          <w:rFonts w:eastAsia="仿宋_GB2312"/>
          <w:sz w:val="28"/>
          <w:szCs w:val="28"/>
        </w:rPr>
      </w:pPr>
    </w:p>
    <w:p>
      <w:pPr>
        <w:widowControl/>
        <w:shd w:val="clear" w:color="auto" w:fill="FFFFFF"/>
        <w:spacing w:before="75" w:after="100" w:afterAutospacing="1"/>
        <w:ind w:firstLine="420" w:firstLineChars="200"/>
        <w:jc w:val="left"/>
        <w:rPr>
          <w:rFonts w:ascii="微软雅黑" w:hAnsi="微软雅黑" w:eastAsia="微软雅黑" w:cs="宋体"/>
          <w:color w:val="333333"/>
          <w:kern w:val="0"/>
          <w:sz w:val="24"/>
        </w:rPr>
      </w:pPr>
      <w:r>
        <w:drawing>
          <wp:anchor distT="0" distB="0" distL="114300" distR="114300" simplePos="0" relativeHeight="251658240" behindDoc="0" locked="0" layoutInCell="1" allowOverlap="1">
            <wp:simplePos x="0" y="0"/>
            <wp:positionH relativeFrom="column">
              <wp:posOffset>714375</wp:posOffset>
            </wp:positionH>
            <wp:positionV relativeFrom="paragraph">
              <wp:posOffset>52070</wp:posOffset>
            </wp:positionV>
            <wp:extent cx="3923665" cy="4377055"/>
            <wp:effectExtent l="0" t="0" r="635" b="444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923665" cy="4377055"/>
                    </a:xfrm>
                    <a:prstGeom prst="rect">
                      <a:avLst/>
                    </a:prstGeom>
                  </pic:spPr>
                </pic:pic>
              </a:graphicData>
            </a:graphic>
          </wp:anchor>
        </w:drawing>
      </w:r>
      <w:r>
        <w:rPr>
          <w:rFonts w:hint="eastAsia" w:ascii="微软雅黑" w:hAnsi="微软雅黑" w:eastAsia="微软雅黑" w:cs="宋体"/>
          <w:color w:val="333333"/>
          <w:kern w:val="0"/>
          <w:sz w:val="24"/>
        </w:rPr>
        <w:t>2019年1至9月，全国纪检监察机关共接受信访举报249.3万件次，处置问题线索122.6万件，谈话函询25.9万件次，立案45.2万件，处分38.3万人（其中党纪处分32.5万人）。处分省部级干部31人，厅局级干部0.3万人，县处级干部1.6万人，乡科级干部5.7万人，一般干部6.5万人，农村、企业等其他人员24.3万人。</w:t>
      </w:r>
    </w:p>
    <w:p>
      <w:pPr>
        <w:widowControl/>
        <w:shd w:val="clear" w:color="auto" w:fill="FFFFFF"/>
        <w:spacing w:before="75" w:after="100" w:afterAutospacing="1"/>
        <w:jc w:val="left"/>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　　2019年1至9月，全国纪检监察机关运用监督执纪“四种形态”批评教育帮助和处理共124.9万人次。其中，运用第一种形态批评教育帮助85.4万人次，占总人次的68.4%；运用第二种形态处理29.8万人次，占23.9%；运用第三种形态处理4.8万人次，占3.8%；运用第四种形态处理4.8万人次，占3.9%。</w:t>
      </w:r>
    </w:p>
    <w:p>
      <w:pPr>
        <w:spacing w:line="580" w:lineRule="exact"/>
        <w:ind w:firstLine="560" w:firstLineChars="200"/>
        <w:jc w:val="left"/>
        <w:rPr>
          <w:rFonts w:eastAsia="方正小标宋简体"/>
          <w:sz w:val="44"/>
          <w:szCs w:val="44"/>
        </w:rPr>
      </w:pPr>
      <w:r>
        <w:rPr>
          <w:sz w:val="28"/>
          <w:szCs w:val="28"/>
        </w:rPr>
        <w:br w:type="page"/>
      </w:r>
      <w:r>
        <w:rPr>
          <w:rFonts w:hint="eastAsia" w:eastAsia="方正小标宋简体"/>
          <w:sz w:val="44"/>
          <w:szCs w:val="44"/>
        </w:rPr>
        <w:t>四、案件剖析</w:t>
      </w:r>
    </w:p>
    <w:p>
      <w:pPr>
        <w:spacing w:after="312" w:afterLines="100" w:line="360" w:lineRule="auto"/>
        <w:jc w:val="center"/>
        <w:rPr>
          <w:rFonts w:eastAsia="方正小标宋简体"/>
          <w:b/>
          <w:sz w:val="36"/>
          <w:szCs w:val="36"/>
        </w:rPr>
      </w:pPr>
      <w:r>
        <w:rPr>
          <w:rFonts w:hint="eastAsia" w:eastAsia="方正小标宋简体"/>
          <w:b/>
          <w:sz w:val="36"/>
          <w:szCs w:val="36"/>
        </w:rPr>
        <w:t>答错“公与私”考题的高校自考办主任</w:t>
      </w:r>
    </w:p>
    <w:p>
      <w:pPr>
        <w:spacing w:after="312" w:afterLines="100" w:line="360" w:lineRule="auto"/>
        <w:jc w:val="center"/>
        <w:rPr>
          <w:rFonts w:eastAsia="方正小标宋简体"/>
          <w:b/>
          <w:sz w:val="28"/>
          <w:szCs w:val="28"/>
        </w:rPr>
      </w:pPr>
      <w:r>
        <w:rPr>
          <w:rFonts w:hint="eastAsia" w:eastAsia="方正小标宋简体"/>
          <w:b/>
          <w:sz w:val="28"/>
          <w:szCs w:val="28"/>
        </w:rPr>
        <w:t>——湖北理工学院继续教育学院原院长、自学考试办公室原主任彭德迟违纪违法问题剖析</w:t>
      </w:r>
    </w:p>
    <w:p>
      <w:pPr>
        <w:spacing w:after="312" w:afterLines="100" w:line="360" w:lineRule="auto"/>
        <w:jc w:val="center"/>
        <w:rPr>
          <w:rFonts w:eastAsia="仿宋_GB2312"/>
          <w:sz w:val="28"/>
          <w:szCs w:val="28"/>
        </w:rPr>
      </w:pPr>
      <w:r>
        <w:rPr>
          <w:rFonts w:hint="eastAsia" w:eastAsia="仿宋_GB2312"/>
          <w:sz w:val="28"/>
          <w:szCs w:val="28"/>
        </w:rPr>
        <w:t>信息来源：中国纪检监察杂志</w:t>
      </w:r>
    </w:p>
    <w:p>
      <w:pPr>
        <w:widowControl/>
        <w:ind w:firstLine="539"/>
        <w:jc w:val="left"/>
        <w:rPr>
          <w:rFonts w:ascii="宋体" w:hAnsi="宋体"/>
          <w:bCs/>
          <w:sz w:val="28"/>
          <w:szCs w:val="28"/>
        </w:rPr>
      </w:pPr>
      <w:r>
        <w:rPr>
          <w:rFonts w:hint="eastAsia" w:ascii="宋体" w:hAnsi="宋体"/>
          <w:bCs/>
          <w:sz w:val="28"/>
          <w:szCs w:val="28"/>
        </w:rPr>
        <w:t>“他出事落马是意料之中的事，心里只有自己的私人领地和私心杂念，处心积虑地揩公家的油，这种人罪有应得，为纪委监委点赞！”谈起湖北理工学院继续教育学院原院长、自学考试办公室原主任彭德迟被立案审查调查，熟悉他的人除了唏嘘，更多的是拍手称快。</w:t>
      </w:r>
    </w:p>
    <w:p>
      <w:pPr>
        <w:widowControl/>
        <w:jc w:val="left"/>
        <w:rPr>
          <w:rFonts w:ascii="宋体" w:hAnsi="宋体"/>
          <w:bCs/>
          <w:sz w:val="28"/>
          <w:szCs w:val="28"/>
        </w:rPr>
      </w:pPr>
      <w:r>
        <w:rPr>
          <w:rFonts w:hint="eastAsia" w:ascii="宋体" w:hAnsi="宋体"/>
          <w:bCs/>
          <w:sz w:val="28"/>
          <w:szCs w:val="28"/>
        </w:rPr>
        <w:t>　　作为一名从人民教师岗位走上来的党员领导干部，彭德迟对考试再熟悉不过。本应秉公用权的他，却在人生的考场中忘记了初心、模糊了义利，答错了“公与私”考题，把手中公权力变成为自己、为家人谋取私利的工具，对党和人民的事业造成难以弥补的损失。</w:t>
      </w:r>
    </w:p>
    <w:p>
      <w:pPr>
        <w:widowControl/>
        <w:jc w:val="left"/>
        <w:rPr>
          <w:rFonts w:ascii="宋体" w:hAnsi="宋体"/>
          <w:b/>
          <w:bCs/>
          <w:sz w:val="28"/>
          <w:szCs w:val="28"/>
        </w:rPr>
      </w:pPr>
      <w:r>
        <w:rPr>
          <w:rFonts w:hint="eastAsia" w:ascii="宋体" w:hAnsi="宋体"/>
          <w:bCs/>
          <w:sz w:val="28"/>
          <w:szCs w:val="28"/>
        </w:rPr>
        <w:t>　　</w:t>
      </w:r>
      <w:r>
        <w:rPr>
          <w:rFonts w:hint="eastAsia" w:ascii="宋体" w:hAnsi="宋体"/>
          <w:b/>
          <w:bCs/>
          <w:sz w:val="28"/>
          <w:szCs w:val="28"/>
        </w:rPr>
        <w:t>慷公家之慨，肆意违规吃喝、滥发补贴</w:t>
      </w:r>
    </w:p>
    <w:p>
      <w:pPr>
        <w:widowControl/>
        <w:jc w:val="left"/>
        <w:rPr>
          <w:rFonts w:ascii="宋体" w:hAnsi="宋体"/>
          <w:bCs/>
          <w:sz w:val="28"/>
          <w:szCs w:val="28"/>
        </w:rPr>
      </w:pPr>
      <w:r>
        <w:rPr>
          <w:rFonts w:hint="eastAsia" w:ascii="宋体" w:hAnsi="宋体"/>
          <w:bCs/>
          <w:sz w:val="28"/>
          <w:szCs w:val="28"/>
        </w:rPr>
        <w:t>　　热衷于吃喝，热衷于拿公款做好人是彭德迟的一大特点。为了所谓的“工作需要”“人情往来”“交流业务”，他用公款行奢靡享乐之实，甚至洋洋自得地认为：“自考办账上资金较为充裕，接待高档点、吃得好点、喝得好点，来客高兴、陪客高兴、大家高兴，何乐不为？”</w:t>
      </w:r>
    </w:p>
    <w:p>
      <w:pPr>
        <w:widowControl/>
        <w:jc w:val="left"/>
        <w:rPr>
          <w:rFonts w:ascii="宋体" w:hAnsi="宋体"/>
          <w:bCs/>
          <w:sz w:val="28"/>
          <w:szCs w:val="28"/>
        </w:rPr>
      </w:pPr>
      <w:r>
        <w:rPr>
          <w:rFonts w:hint="eastAsia" w:ascii="宋体" w:hAnsi="宋体"/>
          <w:bCs/>
          <w:sz w:val="28"/>
          <w:szCs w:val="28"/>
        </w:rPr>
        <w:t>　　经查，彭德迟在2014年1月至2015年9月担任湖北理工学院继续教育学院院长、自考办主任期间，自考办共发生70笔无公函、无事由、无审批等“三单一函”不全的业务招待，违规用公款支出52笔香烟、酒水、副食，共计挥霍浪费公共财产40.5万元。</w:t>
      </w:r>
    </w:p>
    <w:p>
      <w:pPr>
        <w:widowControl/>
        <w:jc w:val="left"/>
        <w:rPr>
          <w:rFonts w:ascii="宋体" w:hAnsi="宋体"/>
          <w:bCs/>
          <w:sz w:val="28"/>
          <w:szCs w:val="28"/>
        </w:rPr>
      </w:pPr>
      <w:r>
        <w:rPr>
          <w:rFonts w:hint="eastAsia" w:ascii="宋体" w:hAnsi="宋体"/>
          <w:bCs/>
          <w:sz w:val="28"/>
          <w:szCs w:val="28"/>
        </w:rPr>
        <w:t>　　违规公款吃喝，吃掉的不仅是国家财产、党心民心，更是党的优良传统与作风。彭德迟作为一名党员领导干部，本应与党中央保持高度一致，却在日常工作中没有把中央八项规定精神落到实处，顽固地认为“自古至今吃喝不犯法”。他坦率承认：“在落实中央八项规定精神上，与中央的要求整整滞后了三年。”</w:t>
      </w:r>
    </w:p>
    <w:p>
      <w:pPr>
        <w:widowControl/>
        <w:jc w:val="left"/>
        <w:rPr>
          <w:rFonts w:ascii="宋体" w:hAnsi="宋体"/>
          <w:bCs/>
          <w:sz w:val="28"/>
          <w:szCs w:val="28"/>
        </w:rPr>
      </w:pPr>
      <w:r>
        <w:rPr>
          <w:rFonts w:hint="eastAsia" w:ascii="宋体" w:hAnsi="宋体"/>
          <w:bCs/>
          <w:sz w:val="28"/>
          <w:szCs w:val="28"/>
        </w:rPr>
        <w:t>　　以“体恤”干部职工为名，彭德迟还拿公款收买人心，处处用钱办事，凡事用钱指挥人，把党的思想政治工作抛到一边。下班晚了一点，就发误餐补助；班主任管理的学生增加了一些，就增发班主任津贴；甚至，学生教材到了，需要搬进教室，就发教材搬运费……“这种滥发乱发现象，长期存在达7年之久，使得自考办人心散、思想乱，除了钱，谁也不认得谁。一个单位发展到如此地步，作为主要负责人，我负有不可推卸的责任。”彭德迟在忏悔录中深深自责，充满悔意。</w:t>
      </w:r>
    </w:p>
    <w:p>
      <w:pPr>
        <w:widowControl/>
        <w:jc w:val="left"/>
        <w:rPr>
          <w:rFonts w:ascii="宋体" w:hAnsi="宋体"/>
          <w:b/>
          <w:bCs/>
          <w:sz w:val="28"/>
          <w:szCs w:val="28"/>
        </w:rPr>
      </w:pPr>
      <w:r>
        <w:rPr>
          <w:rFonts w:hint="eastAsia" w:ascii="宋体" w:hAnsi="宋体"/>
          <w:bCs/>
          <w:sz w:val="28"/>
          <w:szCs w:val="28"/>
        </w:rPr>
        <w:t>　　</w:t>
      </w:r>
      <w:r>
        <w:rPr>
          <w:rFonts w:hint="eastAsia" w:ascii="宋体" w:hAnsi="宋体"/>
          <w:b/>
          <w:bCs/>
          <w:sz w:val="28"/>
          <w:szCs w:val="28"/>
        </w:rPr>
        <w:t>攫公产入私囊，擅自处置、随意侵占财物</w:t>
      </w:r>
    </w:p>
    <w:p>
      <w:pPr>
        <w:widowControl/>
        <w:jc w:val="left"/>
        <w:rPr>
          <w:rFonts w:ascii="宋体" w:hAnsi="宋体"/>
          <w:bCs/>
          <w:sz w:val="28"/>
          <w:szCs w:val="28"/>
        </w:rPr>
      </w:pPr>
      <w:r>
        <w:rPr>
          <w:rFonts w:hint="eastAsia" w:ascii="宋体" w:hAnsi="宋体"/>
          <w:bCs/>
          <w:sz w:val="28"/>
          <w:szCs w:val="28"/>
        </w:rPr>
        <w:t>　　高校是国家的人文重镇、知识灯塔，常常被誉为象牙塔，是人们心目中只应有书香不应有铜臭的“一方净土”。继续教育学院本应体现教育的公益性和非营利性，但实际上在办学中偏离了这一方向，转而以创收为目的，追求营利。在这样的一种导向下，彭德迟利用职务便利，贪尽公家的便宜。</w:t>
      </w:r>
    </w:p>
    <w:p>
      <w:pPr>
        <w:widowControl/>
        <w:jc w:val="left"/>
        <w:rPr>
          <w:rFonts w:ascii="宋体" w:hAnsi="宋体"/>
          <w:bCs/>
          <w:sz w:val="28"/>
          <w:szCs w:val="28"/>
        </w:rPr>
      </w:pPr>
      <w:r>
        <w:rPr>
          <w:rFonts w:hint="eastAsia" w:ascii="宋体" w:hAnsi="宋体"/>
          <w:bCs/>
          <w:sz w:val="28"/>
          <w:szCs w:val="28"/>
        </w:rPr>
        <w:t>　　2010年12月至2015年4月期间，彭德迟多次通过本人或由他人代签，报销应由其个人承担的2部家庭座机和1部私人手机的25笔通讯费用，共计6145元。连个人所得税，他都挖空心思让公家“掏腰包”。在自己和员工相关工资、福利等报酬均足额发放到位后，彭德迟决定安排工作人员，用自考办资金缴纳应由其个人及单位职工自行承担的个人所得税，合计52.8万元。作为责任人的彭德迟，所得税占比很高，自然占了大便宜，一个人就揩掉公家油水24.8万元。这些都是彭德迟授意或签字同意的，他自己反思“一签就签下了公私不分的证据，签下了自己做人做事的底线，签下了自己今天的穷途末路”。</w:t>
      </w:r>
    </w:p>
    <w:p>
      <w:pPr>
        <w:widowControl/>
        <w:jc w:val="left"/>
        <w:rPr>
          <w:rFonts w:ascii="宋体" w:hAnsi="宋体"/>
          <w:bCs/>
          <w:sz w:val="28"/>
          <w:szCs w:val="28"/>
        </w:rPr>
      </w:pPr>
      <w:r>
        <w:rPr>
          <w:rFonts w:hint="eastAsia" w:ascii="宋体" w:hAnsi="宋体"/>
          <w:bCs/>
          <w:sz w:val="28"/>
          <w:szCs w:val="28"/>
        </w:rPr>
        <w:t>　　为了让公款流入私人腰包，彭德迟还打起了购买教材的主意。2012年以前，自考办插班生教材是由黄石理工学院教材科供应的，但随着插班生越来越多，彭德迟认为有利可图，便借着妻子开书店的便利，直接将自家的同方书店指定为教材供应商。由同方书店先从武汉图书城南鸿雁图书发行有限公司以折扣价采购，然后再以原价转卖给自考办，4年时间里，彭德迟自家的书店从中获得折扣差价13.8万元。</w:t>
      </w:r>
    </w:p>
    <w:p>
      <w:pPr>
        <w:widowControl/>
        <w:jc w:val="left"/>
        <w:rPr>
          <w:rFonts w:ascii="宋体" w:hAnsi="宋体"/>
          <w:b/>
          <w:bCs/>
          <w:sz w:val="28"/>
          <w:szCs w:val="28"/>
        </w:rPr>
      </w:pPr>
      <w:r>
        <w:rPr>
          <w:rFonts w:hint="eastAsia" w:ascii="宋体" w:hAnsi="宋体"/>
          <w:bCs/>
          <w:sz w:val="28"/>
          <w:szCs w:val="28"/>
        </w:rPr>
        <w:t>　　</w:t>
      </w:r>
      <w:r>
        <w:rPr>
          <w:rFonts w:hint="eastAsia" w:ascii="宋体" w:hAnsi="宋体"/>
          <w:b/>
          <w:bCs/>
          <w:sz w:val="28"/>
          <w:szCs w:val="28"/>
        </w:rPr>
        <w:t>变公权为私器，破坏民主集中制</w:t>
      </w:r>
    </w:p>
    <w:p>
      <w:pPr>
        <w:widowControl/>
        <w:jc w:val="left"/>
        <w:rPr>
          <w:rFonts w:ascii="宋体" w:hAnsi="宋体"/>
          <w:bCs/>
          <w:sz w:val="28"/>
          <w:szCs w:val="28"/>
        </w:rPr>
      </w:pPr>
      <w:r>
        <w:rPr>
          <w:rFonts w:hint="eastAsia" w:ascii="宋体" w:hAnsi="宋体"/>
          <w:bCs/>
          <w:sz w:val="28"/>
          <w:szCs w:val="28"/>
        </w:rPr>
        <w:t>　　“民主集中制是一个党员干部作重大决策时，必须坚持的原则。只有这样，才能保证决策的科学性，避免盲目性。可我恰恰在自考办近年来的好多决策上，都违反了民主集中制原则，导致自考办和我走到今天大家都不愿看到的结果。”彭德迟坦述，这些年来，他独断专行，我行我素，遇事不同大家商量。大额资金使用管理、人员薪酬和奖励资金发放、人员招录聘用、重大事项决策等“三重一大”事项也不与班子成员集体研究，均由彭德迟个人说了算，严重违反议事规则。</w:t>
      </w:r>
    </w:p>
    <w:p>
      <w:pPr>
        <w:widowControl/>
        <w:jc w:val="left"/>
        <w:rPr>
          <w:rFonts w:ascii="宋体" w:hAnsi="宋体"/>
          <w:bCs/>
          <w:sz w:val="28"/>
          <w:szCs w:val="28"/>
        </w:rPr>
      </w:pPr>
      <w:r>
        <w:rPr>
          <w:rFonts w:hint="eastAsia" w:ascii="宋体" w:hAnsi="宋体"/>
          <w:bCs/>
          <w:sz w:val="28"/>
          <w:szCs w:val="28"/>
        </w:rPr>
        <w:t>　　2012年至2015年期间，彭德迟为扩大招生规模，私自决定委托黄石市华夏教育服务中心代理自考办招收全日制本科自考学生，并支付包干费用。明知华夏教育使用违规取得的非税通用票据逃避缴纳税款，彭德迟仍审批同意自考办支付招生费1207.9万元，造成国家税款流失96.97万元。</w:t>
      </w:r>
    </w:p>
    <w:p>
      <w:pPr>
        <w:widowControl/>
        <w:jc w:val="left"/>
        <w:rPr>
          <w:rFonts w:ascii="宋体" w:hAnsi="宋体"/>
          <w:bCs/>
          <w:sz w:val="28"/>
          <w:szCs w:val="28"/>
        </w:rPr>
      </w:pPr>
      <w:r>
        <w:rPr>
          <w:rFonts w:hint="eastAsia" w:ascii="宋体" w:hAnsi="宋体"/>
          <w:bCs/>
          <w:sz w:val="28"/>
          <w:szCs w:val="28"/>
        </w:rPr>
        <w:t>　　公款姓公，公权为公，如何规范处置，体现的是党员的党性和纪法观念。国家有关法规对财务管理和资产处置都有非常明确的规定和要求，特别是不能投资高风险的证券市场。彭德迟在未经继续教育学院、自考办集体研究和湖北理工学院党委同意的情况下，擅自决定列支自考办资金，在单位银行账户内3次购置理财产品共计1100万元；擅自将自考办资金3305万元分7次转出账户作定期存款。借公款之名，行一己之私。彭德迟及其妻子名下证券市值3545.9万元，均未向组织报告。“为什么这么做？就是心里只有小家没有国家，置制度于不顾，错误是严重的，教训是深刻的。”湖北省黄石市纪委监委办案人员戴杰说道。</w:t>
      </w:r>
    </w:p>
    <w:p>
      <w:pPr>
        <w:widowControl/>
        <w:jc w:val="left"/>
        <w:rPr>
          <w:rFonts w:ascii="宋体" w:hAnsi="宋体"/>
          <w:bCs/>
          <w:sz w:val="28"/>
          <w:szCs w:val="28"/>
        </w:rPr>
      </w:pPr>
      <w:r>
        <w:rPr>
          <w:rFonts w:hint="eastAsia" w:ascii="宋体" w:hAnsi="宋体"/>
          <w:bCs/>
          <w:sz w:val="28"/>
          <w:szCs w:val="28"/>
        </w:rPr>
        <w:t>　　2018年7月，彭德迟被黄石市纪委监委立案审查调查。经查，彭德迟在担任湖北理工学院（原黄石理工学院）继续教育学院院长、自考办主任、武汉理工大学黄石函授站负责人期间，违反中央八项规定精神，挥霍浪费公共财产；违反组织纪律，个人决定本单位重大事项，不如实报告个人有关事项；违反国家法律法规，违规报销个人费用，擅自处置自考办公款，违规处置函授站剩余资产；贪污公共财产；滥用职权，致使国家税收流失。2018年10月，彭德迟被开除党籍、开除公职，涉嫌贪污犯罪、滥用职权犯罪问题移送检察机关依法审查起诉。</w:t>
      </w:r>
    </w:p>
    <w:p>
      <w:pPr>
        <w:widowControl/>
        <w:ind w:firstLine="539"/>
        <w:jc w:val="left"/>
        <w:rPr>
          <w:rFonts w:ascii="宋体" w:hAnsi="宋体"/>
          <w:bCs/>
          <w:sz w:val="28"/>
          <w:szCs w:val="28"/>
        </w:rPr>
      </w:pPr>
    </w:p>
    <w:p>
      <w:pPr>
        <w:widowControl/>
        <w:ind w:firstLine="539"/>
        <w:jc w:val="left"/>
        <w:rPr>
          <w:rFonts w:ascii="宋体" w:hAnsi="宋体"/>
          <w:b/>
          <w:bCs/>
          <w:sz w:val="30"/>
          <w:szCs w:val="30"/>
        </w:rPr>
      </w:pPr>
      <w:r>
        <w:rPr>
          <w:rFonts w:hint="eastAsia" w:ascii="宋体" w:hAnsi="宋体"/>
          <w:b/>
          <w:bCs/>
          <w:sz w:val="30"/>
          <w:szCs w:val="30"/>
        </w:rPr>
        <w:t>编辑点评</w:t>
      </w:r>
    </w:p>
    <w:p>
      <w:pPr>
        <w:widowControl/>
        <w:ind w:firstLine="560" w:firstLineChars="200"/>
        <w:jc w:val="left"/>
        <w:rPr>
          <w:rFonts w:ascii="宋体" w:hAnsi="宋体"/>
          <w:bCs/>
          <w:sz w:val="28"/>
          <w:szCs w:val="28"/>
        </w:rPr>
      </w:pPr>
      <w:r>
        <w:rPr>
          <w:rFonts w:hint="eastAsia" w:ascii="宋体" w:hAnsi="宋体"/>
          <w:bCs/>
          <w:sz w:val="28"/>
          <w:szCs w:val="28"/>
        </w:rPr>
        <w:t>习近平总书记曾指出：“作为党的干部，就是要讲大公无私、公私分明、先公后私、公而忘私，只有一心为公、事事出于公心，才能坦荡做人、谨慎用权，才能光明正大、堂堂正正。”全面从严治党，“公”与“私”是每名党员干部必须面对的抉择，是考量初心和党性的必答题。如果“公”与“私”两个口袋分不清，就会像彭德迟这样，把公款、公产、公权用于满足私欲、私利、私心，在物欲横流中迷失初心、忘记使命，最终走上违法乱纪之路。</w:t>
      </w:r>
    </w:p>
    <w:p>
      <w:pPr>
        <w:widowControl/>
        <w:jc w:val="left"/>
      </w:pPr>
      <w:r>
        <w:rPr>
          <w:rFonts w:hint="eastAsia" w:ascii="宋体" w:hAnsi="宋体"/>
          <w:bCs/>
          <w:sz w:val="28"/>
          <w:szCs w:val="28"/>
        </w:rPr>
        <w:t>　　公私一念间，荣辱两重天。彭德迟的违纪违法事实告诉我们，贪一分公款，就降低一分威信；破一次规矩，就留下一个污点；谋一次私利，就失去一片人心。对于党员干部来说，公私分明是基本操守，公而忘私是崇高境界，必须厘清“公”与“私”的界限，以赶考的决心，答好新时代党的建设伟大工程中的每道考题，交出让党放心、人民满意的答卷。</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C1"/>
    <w:rsid w:val="00004B89"/>
    <w:rsid w:val="00005BA3"/>
    <w:rsid w:val="0001654D"/>
    <w:rsid w:val="000265E6"/>
    <w:rsid w:val="0003386D"/>
    <w:rsid w:val="000429DB"/>
    <w:rsid w:val="00042B86"/>
    <w:rsid w:val="00050EAB"/>
    <w:rsid w:val="00054E7E"/>
    <w:rsid w:val="000705BA"/>
    <w:rsid w:val="000726DA"/>
    <w:rsid w:val="0007420B"/>
    <w:rsid w:val="000756EA"/>
    <w:rsid w:val="00084C71"/>
    <w:rsid w:val="00085FAE"/>
    <w:rsid w:val="00086C52"/>
    <w:rsid w:val="0008767C"/>
    <w:rsid w:val="000A2F86"/>
    <w:rsid w:val="000A316C"/>
    <w:rsid w:val="000A5C77"/>
    <w:rsid w:val="000B6B0F"/>
    <w:rsid w:val="000C1DF8"/>
    <w:rsid w:val="000C4268"/>
    <w:rsid w:val="000C4C53"/>
    <w:rsid w:val="000D7AAF"/>
    <w:rsid w:val="000E5420"/>
    <w:rsid w:val="000F22A6"/>
    <w:rsid w:val="000F79A8"/>
    <w:rsid w:val="0010063C"/>
    <w:rsid w:val="00107E7F"/>
    <w:rsid w:val="0012064B"/>
    <w:rsid w:val="001467E1"/>
    <w:rsid w:val="001614D6"/>
    <w:rsid w:val="0016399E"/>
    <w:rsid w:val="00164541"/>
    <w:rsid w:val="0017336D"/>
    <w:rsid w:val="00176273"/>
    <w:rsid w:val="00176F52"/>
    <w:rsid w:val="00180886"/>
    <w:rsid w:val="001A59EF"/>
    <w:rsid w:val="001B7375"/>
    <w:rsid w:val="001C4946"/>
    <w:rsid w:val="001E0E78"/>
    <w:rsid w:val="001E3440"/>
    <w:rsid w:val="001E576E"/>
    <w:rsid w:val="001F3EFC"/>
    <w:rsid w:val="001F49B7"/>
    <w:rsid w:val="001F4AD9"/>
    <w:rsid w:val="00200021"/>
    <w:rsid w:val="0020268D"/>
    <w:rsid w:val="002036B9"/>
    <w:rsid w:val="00203704"/>
    <w:rsid w:val="0020551A"/>
    <w:rsid w:val="002120A5"/>
    <w:rsid w:val="0021215C"/>
    <w:rsid w:val="00212B4A"/>
    <w:rsid w:val="00214A6D"/>
    <w:rsid w:val="00225B56"/>
    <w:rsid w:val="00247AA4"/>
    <w:rsid w:val="00247AD6"/>
    <w:rsid w:val="00251C8E"/>
    <w:rsid w:val="0025596E"/>
    <w:rsid w:val="0027046D"/>
    <w:rsid w:val="002746C8"/>
    <w:rsid w:val="00283B9C"/>
    <w:rsid w:val="002842BD"/>
    <w:rsid w:val="00285EDD"/>
    <w:rsid w:val="0028635C"/>
    <w:rsid w:val="0028783B"/>
    <w:rsid w:val="002905C2"/>
    <w:rsid w:val="00295599"/>
    <w:rsid w:val="002A1B10"/>
    <w:rsid w:val="002A2EA4"/>
    <w:rsid w:val="002B5A01"/>
    <w:rsid w:val="002C09CC"/>
    <w:rsid w:val="002E0F41"/>
    <w:rsid w:val="002E1368"/>
    <w:rsid w:val="002E47B4"/>
    <w:rsid w:val="002F37C0"/>
    <w:rsid w:val="00301BDA"/>
    <w:rsid w:val="003066BA"/>
    <w:rsid w:val="0033691C"/>
    <w:rsid w:val="00346F37"/>
    <w:rsid w:val="003632E2"/>
    <w:rsid w:val="00364A6C"/>
    <w:rsid w:val="00367205"/>
    <w:rsid w:val="00373A6A"/>
    <w:rsid w:val="00374FAE"/>
    <w:rsid w:val="003844F3"/>
    <w:rsid w:val="003872A5"/>
    <w:rsid w:val="00390D5F"/>
    <w:rsid w:val="00390DF1"/>
    <w:rsid w:val="00392F83"/>
    <w:rsid w:val="00397A6E"/>
    <w:rsid w:val="003A1766"/>
    <w:rsid w:val="003A1A29"/>
    <w:rsid w:val="003B1E48"/>
    <w:rsid w:val="003B2A32"/>
    <w:rsid w:val="003B4628"/>
    <w:rsid w:val="003B5C07"/>
    <w:rsid w:val="003B6FC2"/>
    <w:rsid w:val="003C1A84"/>
    <w:rsid w:val="003C2603"/>
    <w:rsid w:val="003C5642"/>
    <w:rsid w:val="003D7D4A"/>
    <w:rsid w:val="003E2173"/>
    <w:rsid w:val="003F466C"/>
    <w:rsid w:val="00402D79"/>
    <w:rsid w:val="00407799"/>
    <w:rsid w:val="00410FF5"/>
    <w:rsid w:val="004203D1"/>
    <w:rsid w:val="00420925"/>
    <w:rsid w:val="00421F3A"/>
    <w:rsid w:val="004236DA"/>
    <w:rsid w:val="00442C22"/>
    <w:rsid w:val="00442FCB"/>
    <w:rsid w:val="00454161"/>
    <w:rsid w:val="00454FFC"/>
    <w:rsid w:val="004628BC"/>
    <w:rsid w:val="00481200"/>
    <w:rsid w:val="00482EC4"/>
    <w:rsid w:val="00490A39"/>
    <w:rsid w:val="004B1627"/>
    <w:rsid w:val="004B22A3"/>
    <w:rsid w:val="004B3270"/>
    <w:rsid w:val="004B5D0A"/>
    <w:rsid w:val="004C43A2"/>
    <w:rsid w:val="004E4A70"/>
    <w:rsid w:val="004E4E5A"/>
    <w:rsid w:val="004F1498"/>
    <w:rsid w:val="004F50C6"/>
    <w:rsid w:val="004F6D3D"/>
    <w:rsid w:val="00500714"/>
    <w:rsid w:val="00506DC2"/>
    <w:rsid w:val="00513106"/>
    <w:rsid w:val="00516587"/>
    <w:rsid w:val="00527F93"/>
    <w:rsid w:val="005316A8"/>
    <w:rsid w:val="005322C6"/>
    <w:rsid w:val="0054117D"/>
    <w:rsid w:val="00541DE5"/>
    <w:rsid w:val="005513C4"/>
    <w:rsid w:val="00567730"/>
    <w:rsid w:val="00571646"/>
    <w:rsid w:val="00586055"/>
    <w:rsid w:val="00586152"/>
    <w:rsid w:val="00593E7A"/>
    <w:rsid w:val="005B4F6B"/>
    <w:rsid w:val="005B722C"/>
    <w:rsid w:val="005B7FDD"/>
    <w:rsid w:val="005E61A1"/>
    <w:rsid w:val="005E7F6D"/>
    <w:rsid w:val="005F66FB"/>
    <w:rsid w:val="006153F2"/>
    <w:rsid w:val="00616656"/>
    <w:rsid w:val="0062005A"/>
    <w:rsid w:val="00622C68"/>
    <w:rsid w:val="00626F1F"/>
    <w:rsid w:val="0063036E"/>
    <w:rsid w:val="00632A79"/>
    <w:rsid w:val="00640055"/>
    <w:rsid w:val="0065184E"/>
    <w:rsid w:val="00657FFB"/>
    <w:rsid w:val="006618A1"/>
    <w:rsid w:val="00661ED4"/>
    <w:rsid w:val="006637D2"/>
    <w:rsid w:val="006826EA"/>
    <w:rsid w:val="006913C1"/>
    <w:rsid w:val="00693944"/>
    <w:rsid w:val="006941DA"/>
    <w:rsid w:val="00697CFC"/>
    <w:rsid w:val="006A4BA6"/>
    <w:rsid w:val="006A6F99"/>
    <w:rsid w:val="006B362A"/>
    <w:rsid w:val="006B49A2"/>
    <w:rsid w:val="006B4E09"/>
    <w:rsid w:val="006C67CD"/>
    <w:rsid w:val="006D30ED"/>
    <w:rsid w:val="006D53C2"/>
    <w:rsid w:val="006E0736"/>
    <w:rsid w:val="006E2D42"/>
    <w:rsid w:val="006E5FBC"/>
    <w:rsid w:val="00704192"/>
    <w:rsid w:val="00711730"/>
    <w:rsid w:val="00717F5A"/>
    <w:rsid w:val="00741B2E"/>
    <w:rsid w:val="00743E17"/>
    <w:rsid w:val="00745855"/>
    <w:rsid w:val="007512B2"/>
    <w:rsid w:val="00756684"/>
    <w:rsid w:val="00765147"/>
    <w:rsid w:val="00784484"/>
    <w:rsid w:val="007861EA"/>
    <w:rsid w:val="00787AE0"/>
    <w:rsid w:val="0079277F"/>
    <w:rsid w:val="00793C77"/>
    <w:rsid w:val="00794E87"/>
    <w:rsid w:val="007A0227"/>
    <w:rsid w:val="007B0D4D"/>
    <w:rsid w:val="007E3BC0"/>
    <w:rsid w:val="007E56F5"/>
    <w:rsid w:val="007F43A0"/>
    <w:rsid w:val="007F45F0"/>
    <w:rsid w:val="00801B12"/>
    <w:rsid w:val="00804744"/>
    <w:rsid w:val="00806D77"/>
    <w:rsid w:val="008126D3"/>
    <w:rsid w:val="00814BFA"/>
    <w:rsid w:val="00820101"/>
    <w:rsid w:val="00821492"/>
    <w:rsid w:val="00825D4D"/>
    <w:rsid w:val="00846EBB"/>
    <w:rsid w:val="00856DB7"/>
    <w:rsid w:val="00861312"/>
    <w:rsid w:val="00864298"/>
    <w:rsid w:val="00865F51"/>
    <w:rsid w:val="00871984"/>
    <w:rsid w:val="00873243"/>
    <w:rsid w:val="0087737A"/>
    <w:rsid w:val="00880B48"/>
    <w:rsid w:val="008907E4"/>
    <w:rsid w:val="0089109B"/>
    <w:rsid w:val="00892BEE"/>
    <w:rsid w:val="008951BD"/>
    <w:rsid w:val="008B0488"/>
    <w:rsid w:val="008B108E"/>
    <w:rsid w:val="008B2B2E"/>
    <w:rsid w:val="008C4A47"/>
    <w:rsid w:val="008D3662"/>
    <w:rsid w:val="008D7FF2"/>
    <w:rsid w:val="008E09D4"/>
    <w:rsid w:val="008F417F"/>
    <w:rsid w:val="00901621"/>
    <w:rsid w:val="00901708"/>
    <w:rsid w:val="00902A62"/>
    <w:rsid w:val="009031F2"/>
    <w:rsid w:val="00911121"/>
    <w:rsid w:val="009225EB"/>
    <w:rsid w:val="00924091"/>
    <w:rsid w:val="00935110"/>
    <w:rsid w:val="009379B7"/>
    <w:rsid w:val="00944C06"/>
    <w:rsid w:val="009503E7"/>
    <w:rsid w:val="00950FE8"/>
    <w:rsid w:val="00960BDD"/>
    <w:rsid w:val="00963521"/>
    <w:rsid w:val="00974626"/>
    <w:rsid w:val="009823CD"/>
    <w:rsid w:val="00984DFA"/>
    <w:rsid w:val="0098684E"/>
    <w:rsid w:val="00991DE5"/>
    <w:rsid w:val="00993309"/>
    <w:rsid w:val="00995D26"/>
    <w:rsid w:val="00996B59"/>
    <w:rsid w:val="00997419"/>
    <w:rsid w:val="009A76C2"/>
    <w:rsid w:val="009B1744"/>
    <w:rsid w:val="009B1D3D"/>
    <w:rsid w:val="009C1E4E"/>
    <w:rsid w:val="009C371B"/>
    <w:rsid w:val="009C6102"/>
    <w:rsid w:val="009C6B1B"/>
    <w:rsid w:val="009D0618"/>
    <w:rsid w:val="009D067A"/>
    <w:rsid w:val="009D1773"/>
    <w:rsid w:val="009D1EBD"/>
    <w:rsid w:val="009E35D1"/>
    <w:rsid w:val="009E3665"/>
    <w:rsid w:val="009E66A7"/>
    <w:rsid w:val="009F03C6"/>
    <w:rsid w:val="009F7491"/>
    <w:rsid w:val="00A00E40"/>
    <w:rsid w:val="00A03BC5"/>
    <w:rsid w:val="00A1229D"/>
    <w:rsid w:val="00A128A9"/>
    <w:rsid w:val="00A208E8"/>
    <w:rsid w:val="00A30788"/>
    <w:rsid w:val="00A31EBF"/>
    <w:rsid w:val="00A33053"/>
    <w:rsid w:val="00A33389"/>
    <w:rsid w:val="00A33395"/>
    <w:rsid w:val="00A354AE"/>
    <w:rsid w:val="00A35A4A"/>
    <w:rsid w:val="00A371B1"/>
    <w:rsid w:val="00A417C1"/>
    <w:rsid w:val="00A4580D"/>
    <w:rsid w:val="00A52D5E"/>
    <w:rsid w:val="00A55F17"/>
    <w:rsid w:val="00A56988"/>
    <w:rsid w:val="00A621AF"/>
    <w:rsid w:val="00A72E72"/>
    <w:rsid w:val="00A767D7"/>
    <w:rsid w:val="00A877F3"/>
    <w:rsid w:val="00A94C16"/>
    <w:rsid w:val="00A96727"/>
    <w:rsid w:val="00A973AD"/>
    <w:rsid w:val="00AA17F7"/>
    <w:rsid w:val="00AA1C33"/>
    <w:rsid w:val="00AB140D"/>
    <w:rsid w:val="00AC04AF"/>
    <w:rsid w:val="00AE51E7"/>
    <w:rsid w:val="00AE607C"/>
    <w:rsid w:val="00AF2C47"/>
    <w:rsid w:val="00B0086D"/>
    <w:rsid w:val="00B02A39"/>
    <w:rsid w:val="00B06F50"/>
    <w:rsid w:val="00B07485"/>
    <w:rsid w:val="00B27C76"/>
    <w:rsid w:val="00B30D19"/>
    <w:rsid w:val="00B37BC1"/>
    <w:rsid w:val="00B406A3"/>
    <w:rsid w:val="00B448BF"/>
    <w:rsid w:val="00B47332"/>
    <w:rsid w:val="00B563F0"/>
    <w:rsid w:val="00B651C1"/>
    <w:rsid w:val="00B7584B"/>
    <w:rsid w:val="00B83FF1"/>
    <w:rsid w:val="00BA2BDA"/>
    <w:rsid w:val="00BC0FED"/>
    <w:rsid w:val="00BD46C7"/>
    <w:rsid w:val="00BD5422"/>
    <w:rsid w:val="00BD62D6"/>
    <w:rsid w:val="00BE4A65"/>
    <w:rsid w:val="00C07C8D"/>
    <w:rsid w:val="00C20BCA"/>
    <w:rsid w:val="00C31341"/>
    <w:rsid w:val="00C35E06"/>
    <w:rsid w:val="00C36699"/>
    <w:rsid w:val="00C369F5"/>
    <w:rsid w:val="00C40873"/>
    <w:rsid w:val="00C54779"/>
    <w:rsid w:val="00C70C0D"/>
    <w:rsid w:val="00C76ED9"/>
    <w:rsid w:val="00C80124"/>
    <w:rsid w:val="00CA5599"/>
    <w:rsid w:val="00CA7F11"/>
    <w:rsid w:val="00CB4EFC"/>
    <w:rsid w:val="00CB5A9B"/>
    <w:rsid w:val="00CB73CC"/>
    <w:rsid w:val="00CC1F68"/>
    <w:rsid w:val="00CC2D83"/>
    <w:rsid w:val="00CC2DB9"/>
    <w:rsid w:val="00CE1136"/>
    <w:rsid w:val="00CE238D"/>
    <w:rsid w:val="00CF015E"/>
    <w:rsid w:val="00CF0866"/>
    <w:rsid w:val="00CF1F1D"/>
    <w:rsid w:val="00CF4ECE"/>
    <w:rsid w:val="00CF52B2"/>
    <w:rsid w:val="00D00690"/>
    <w:rsid w:val="00D039D0"/>
    <w:rsid w:val="00D05CC6"/>
    <w:rsid w:val="00D07B42"/>
    <w:rsid w:val="00D12DA8"/>
    <w:rsid w:val="00D13DA0"/>
    <w:rsid w:val="00D15178"/>
    <w:rsid w:val="00D34986"/>
    <w:rsid w:val="00D4025A"/>
    <w:rsid w:val="00D54FA8"/>
    <w:rsid w:val="00D60580"/>
    <w:rsid w:val="00D61D47"/>
    <w:rsid w:val="00D71A87"/>
    <w:rsid w:val="00D755D8"/>
    <w:rsid w:val="00D85365"/>
    <w:rsid w:val="00D85AFF"/>
    <w:rsid w:val="00D95D6B"/>
    <w:rsid w:val="00DB30C6"/>
    <w:rsid w:val="00DC05EA"/>
    <w:rsid w:val="00DC6382"/>
    <w:rsid w:val="00DD1507"/>
    <w:rsid w:val="00DD1BB6"/>
    <w:rsid w:val="00DD759E"/>
    <w:rsid w:val="00DE2003"/>
    <w:rsid w:val="00DE59FF"/>
    <w:rsid w:val="00DE625E"/>
    <w:rsid w:val="00DE6D09"/>
    <w:rsid w:val="00DE71D9"/>
    <w:rsid w:val="00DF02BE"/>
    <w:rsid w:val="00DF1FB9"/>
    <w:rsid w:val="00DF4FE7"/>
    <w:rsid w:val="00E30008"/>
    <w:rsid w:val="00E31828"/>
    <w:rsid w:val="00E41BCF"/>
    <w:rsid w:val="00E42C52"/>
    <w:rsid w:val="00E54D03"/>
    <w:rsid w:val="00E60C50"/>
    <w:rsid w:val="00E70F24"/>
    <w:rsid w:val="00E81501"/>
    <w:rsid w:val="00E86578"/>
    <w:rsid w:val="00ED0C60"/>
    <w:rsid w:val="00ED2C9B"/>
    <w:rsid w:val="00ED2E47"/>
    <w:rsid w:val="00ED52E7"/>
    <w:rsid w:val="00EE2280"/>
    <w:rsid w:val="00EE27C3"/>
    <w:rsid w:val="00EF5011"/>
    <w:rsid w:val="00EF64CF"/>
    <w:rsid w:val="00EF7764"/>
    <w:rsid w:val="00F024EF"/>
    <w:rsid w:val="00F04946"/>
    <w:rsid w:val="00F107F3"/>
    <w:rsid w:val="00F11461"/>
    <w:rsid w:val="00F12FCB"/>
    <w:rsid w:val="00F16F69"/>
    <w:rsid w:val="00F24D88"/>
    <w:rsid w:val="00F405CC"/>
    <w:rsid w:val="00F4186F"/>
    <w:rsid w:val="00F4355F"/>
    <w:rsid w:val="00F60ABB"/>
    <w:rsid w:val="00F6273E"/>
    <w:rsid w:val="00F64D44"/>
    <w:rsid w:val="00F65CB9"/>
    <w:rsid w:val="00F75F84"/>
    <w:rsid w:val="00F76042"/>
    <w:rsid w:val="00F77646"/>
    <w:rsid w:val="00F8767A"/>
    <w:rsid w:val="00F90C16"/>
    <w:rsid w:val="00F952A0"/>
    <w:rsid w:val="00F97B9C"/>
    <w:rsid w:val="00FA2A1B"/>
    <w:rsid w:val="00FA2DF9"/>
    <w:rsid w:val="00FB22A9"/>
    <w:rsid w:val="00FB373F"/>
    <w:rsid w:val="00FB507C"/>
    <w:rsid w:val="00FC0449"/>
    <w:rsid w:val="00FC4839"/>
    <w:rsid w:val="00FD341D"/>
    <w:rsid w:val="00FD449E"/>
    <w:rsid w:val="00FD4798"/>
    <w:rsid w:val="00FE0C08"/>
    <w:rsid w:val="00FE5BAA"/>
    <w:rsid w:val="5A95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napToGrid w:val="0"/>
      <w:spacing w:line="360" w:lineRule="auto"/>
      <w:ind w:firstLine="200" w:firstLineChars="200"/>
      <w:outlineLvl w:val="0"/>
    </w:pPr>
    <w:rPr>
      <w:rFonts w:eastAsia="楷体_GB2312"/>
      <w:b/>
      <w:bCs/>
      <w:kern w:val="44"/>
      <w:sz w:val="32"/>
      <w:szCs w:val="44"/>
      <w:lang w:val="zh-CN" w:eastAsia="zh-CN"/>
    </w:rPr>
  </w:style>
  <w:style w:type="paragraph" w:styleId="3">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Emphasis"/>
    <w:qFormat/>
    <w:uiPriority w:val="20"/>
    <w:rPr>
      <w:i/>
      <w:iCs/>
    </w:rPr>
  </w:style>
  <w:style w:type="character" w:styleId="12">
    <w:name w:val="Hyperlink"/>
    <w:unhideWhenUsed/>
    <w:uiPriority w:val="99"/>
    <w:rPr>
      <w:color w:val="0000FF"/>
      <w:u w:val="single"/>
    </w:rPr>
  </w:style>
  <w:style w:type="character" w:customStyle="1" w:styleId="13">
    <w:name w:val="标题 1 Char"/>
    <w:link w:val="2"/>
    <w:qFormat/>
    <w:uiPriority w:val="9"/>
    <w:rPr>
      <w:rFonts w:ascii="Times New Roman" w:hAnsi="Times New Roman" w:eastAsia="楷体_GB2312" w:cs="Times New Roman"/>
      <w:b/>
      <w:bCs/>
      <w:kern w:val="44"/>
      <w:sz w:val="32"/>
      <w:szCs w:val="44"/>
      <w:lang w:val="zh-CN" w:eastAsia="zh-CN"/>
    </w:rPr>
  </w:style>
  <w:style w:type="character" w:customStyle="1" w:styleId="14">
    <w:name w:val="页脚 Char"/>
    <w:link w:val="5"/>
    <w:uiPriority w:val="99"/>
    <w:rPr>
      <w:rFonts w:ascii="Times New Roman" w:hAnsi="Times New Roman"/>
      <w:kern w:val="2"/>
      <w:sz w:val="18"/>
      <w:szCs w:val="18"/>
    </w:rPr>
  </w:style>
  <w:style w:type="character" w:customStyle="1" w:styleId="15">
    <w:name w:val="apple-converted-space"/>
    <w:qFormat/>
    <w:uiPriority w:val="0"/>
  </w:style>
  <w:style w:type="character" w:customStyle="1" w:styleId="16">
    <w:name w:val="tj"/>
    <w:basedOn w:val="9"/>
    <w:uiPriority w:val="0"/>
  </w:style>
  <w:style w:type="character" w:customStyle="1" w:styleId="17">
    <w:name w:val="批注框文本 Char"/>
    <w:link w:val="4"/>
    <w:semiHidden/>
    <w:uiPriority w:val="99"/>
    <w:rPr>
      <w:rFonts w:ascii="Times New Roman" w:hAnsi="Times New Roman" w:eastAsia="宋体" w:cs="Times New Roman"/>
      <w:sz w:val="18"/>
      <w:szCs w:val="18"/>
    </w:rPr>
  </w:style>
  <w:style w:type="character" w:customStyle="1" w:styleId="18">
    <w:name w:val="标题 3 Char"/>
    <w:link w:val="3"/>
    <w:uiPriority w:val="9"/>
    <w:rPr>
      <w:rFonts w:ascii="Times New Roman" w:hAnsi="Times New Roman"/>
      <w:b/>
      <w:bCs/>
      <w:kern w:val="2"/>
      <w:sz w:val="32"/>
      <w:szCs w:val="32"/>
    </w:rPr>
  </w:style>
  <w:style w:type="character" w:customStyle="1" w:styleId="19">
    <w:name w:val="share"/>
    <w:qFormat/>
    <w:uiPriority w:val="0"/>
  </w:style>
  <w:style w:type="paragraph" w:customStyle="1" w:styleId="20">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页眉 Char"/>
    <w:link w:val="6"/>
    <w:uiPriority w:val="99"/>
    <w:rPr>
      <w:rFonts w:ascii="Times New Roman" w:hAnsi="Times New Roman"/>
      <w:kern w:val="2"/>
      <w:sz w:val="18"/>
      <w:szCs w:val="18"/>
    </w:rPr>
  </w:style>
  <w:style w:type="paragraph" w:customStyle="1" w:styleId="22">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D89C4-9A23-4550-83C6-8C2C6BD8145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3348</Words>
  <Characters>19088</Characters>
  <Lines>159</Lines>
  <Paragraphs>44</Paragraphs>
  <TotalTime>0</TotalTime>
  <ScaleCrop>false</ScaleCrop>
  <LinksUpToDate>false</LinksUpToDate>
  <CharactersWithSpaces>22392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2019-11-12T03:05:00Z</dcterms:created>
  <dc:creator>沈晶晶</dc:creator>
  <cp:lastModifiedBy>湘西土匪</cp:lastModifiedBy>
  <dcterms:modified xsi:type="dcterms:W3CDTF">2020-04-05T03:57:22Z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