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C8677">
      <w:pPr>
        <w:pStyle w:val="2"/>
        <w:widowControl/>
        <w:spacing w:line="540" w:lineRule="exact"/>
        <w:jc w:val="center"/>
        <w:rPr>
          <w:rFonts w:hint="default"/>
          <w:color w:val="000000" w:themeColor="text1"/>
          <w:spacing w:val="-12"/>
          <w:sz w:val="28"/>
          <w:szCs w:val="28"/>
        </w:rPr>
      </w:pPr>
      <w:r>
        <w:rPr>
          <w:rFonts w:ascii="黑体" w:hAnsi="黑体" w:eastAsia="黑体"/>
          <w:b w:val="0"/>
          <w:color w:val="000000" w:themeColor="text1"/>
          <w:spacing w:val="-12"/>
          <w:sz w:val="28"/>
          <w:szCs w:val="28"/>
        </w:rPr>
        <w:t>吉首大学商学院2026年推荐优秀应届本科毕业生免试攻读硕士学位研究生</w:t>
      </w:r>
    </w:p>
    <w:p w14:paraId="053E8BD5">
      <w:pPr>
        <w:pStyle w:val="2"/>
        <w:widowControl/>
        <w:spacing w:line="540" w:lineRule="exact"/>
        <w:jc w:val="center"/>
        <w:rPr>
          <w:rFonts w:hint="default"/>
          <w:color w:val="000000" w:themeColor="text1"/>
          <w:sz w:val="33"/>
          <w:szCs w:val="33"/>
        </w:rPr>
      </w:pPr>
      <w:r>
        <w:rPr>
          <w:color w:val="000000" w:themeColor="text1"/>
          <w:sz w:val="33"/>
          <w:szCs w:val="33"/>
        </w:rPr>
        <w:t>工作实施细则</w:t>
      </w:r>
    </w:p>
    <w:p w14:paraId="2E359930">
      <w:pPr>
        <w:spacing w:line="540" w:lineRule="exact"/>
        <w:ind w:firstLine="480" w:firstLineChars="200"/>
        <w:rPr>
          <w:color w:val="000000" w:themeColor="text1"/>
          <w:sz w:val="24"/>
        </w:rPr>
      </w:pPr>
    </w:p>
    <w:p w14:paraId="75A04436">
      <w:pPr>
        <w:spacing w:line="500" w:lineRule="exact"/>
        <w:ind w:firstLine="602" w:firstLineChars="200"/>
        <w:rPr>
          <w:rFonts w:ascii="仿宋" w:hAnsi="仿宋" w:eastAsia="仿宋" w:cs="仿宋"/>
          <w:color w:val="000000" w:themeColor="text1"/>
          <w:sz w:val="30"/>
          <w:szCs w:val="30"/>
        </w:rPr>
      </w:pPr>
      <w:r>
        <w:rPr>
          <w:rFonts w:hint="eastAsia" w:ascii="仿宋" w:hAnsi="仿宋" w:eastAsia="仿宋" w:cs="仿宋"/>
          <w:b/>
          <w:bCs/>
          <w:color w:val="000000" w:themeColor="text1"/>
          <w:sz w:val="30"/>
          <w:szCs w:val="30"/>
        </w:rPr>
        <w:t>第一条</w:t>
      </w:r>
      <w:r>
        <w:rPr>
          <w:rFonts w:hint="eastAsia" w:ascii="仿宋" w:hAnsi="仿宋" w:eastAsia="仿宋" w:cs="仿宋"/>
          <w:color w:val="000000" w:themeColor="text1"/>
          <w:sz w:val="30"/>
          <w:szCs w:val="30"/>
        </w:rPr>
        <w:t xml:space="preserve"> 为规范我院推荐优秀应届本科毕业生免试攻读硕士学位研究生（以下简称“推免生”）工作，加大选拔创新人才的力度，根据</w:t>
      </w:r>
      <w:r>
        <w:rPr>
          <w:rFonts w:hint="eastAsia" w:ascii="仿宋" w:hAnsi="仿宋" w:eastAsia="仿宋" w:cs="仿宋"/>
          <w:sz w:val="30"/>
          <w:szCs w:val="30"/>
        </w:rPr>
        <w:t>根据《吉首大学推荐优秀应届本科毕业生免试攻读硕士学位研究生实施办法（2025年修订）》（</w:t>
      </w:r>
      <w:r>
        <w:rPr>
          <w:rFonts w:hint="eastAsia" w:ascii="仿宋" w:hAnsi="仿宋" w:eastAsia="仿宋" w:cs="仿宋"/>
          <w:bCs/>
          <w:sz w:val="30"/>
          <w:szCs w:val="30"/>
        </w:rPr>
        <w:t>吉大发〔2025〕28号</w:t>
      </w:r>
      <w:r>
        <w:rPr>
          <w:rFonts w:hint="eastAsia" w:ascii="仿宋" w:hAnsi="仿宋" w:eastAsia="仿宋" w:cs="仿宋"/>
          <w:sz w:val="30"/>
          <w:szCs w:val="30"/>
        </w:rPr>
        <w:t>）和《关于做好2026年推荐优秀应届本科毕业生免试攻读硕士学位研究生工作的通知》（</w:t>
      </w:r>
      <w:r>
        <w:rPr>
          <w:rFonts w:hint="eastAsia" w:ascii="仿宋" w:hAnsi="仿宋" w:eastAsia="仿宋" w:cs="仿宋"/>
          <w:bCs/>
          <w:sz w:val="30"/>
          <w:szCs w:val="30"/>
        </w:rPr>
        <w:t>吉大办发〔2025〕16号</w:t>
      </w:r>
      <w:r>
        <w:rPr>
          <w:rFonts w:hint="eastAsia" w:ascii="仿宋" w:hAnsi="仿宋" w:eastAsia="仿宋" w:cs="仿宋"/>
          <w:sz w:val="30"/>
          <w:szCs w:val="30"/>
        </w:rPr>
        <w:t>）</w:t>
      </w:r>
      <w:r>
        <w:rPr>
          <w:rFonts w:hint="eastAsia" w:ascii="仿宋" w:hAnsi="仿宋" w:eastAsia="仿宋" w:cs="仿宋"/>
          <w:color w:val="000000" w:themeColor="text1"/>
          <w:sz w:val="30"/>
          <w:szCs w:val="30"/>
        </w:rPr>
        <w:t>要求，结合学院实际，制定本实施细则。</w:t>
      </w:r>
    </w:p>
    <w:p w14:paraId="153464D9">
      <w:pPr>
        <w:spacing w:line="500" w:lineRule="exact"/>
        <w:ind w:firstLine="602" w:firstLineChars="200"/>
        <w:rPr>
          <w:rFonts w:ascii="仿宋" w:hAnsi="仿宋" w:eastAsia="仿宋" w:cs="仿宋"/>
          <w:color w:val="000000" w:themeColor="text1"/>
          <w:sz w:val="30"/>
          <w:szCs w:val="30"/>
        </w:rPr>
      </w:pPr>
      <w:r>
        <w:rPr>
          <w:rFonts w:hint="eastAsia" w:ascii="仿宋" w:hAnsi="仿宋" w:eastAsia="仿宋" w:cs="仿宋"/>
          <w:b/>
          <w:bCs/>
          <w:color w:val="000000" w:themeColor="text1"/>
          <w:sz w:val="30"/>
          <w:szCs w:val="30"/>
        </w:rPr>
        <w:t>第二条</w:t>
      </w:r>
      <w:r>
        <w:rPr>
          <w:rFonts w:hint="eastAsia" w:ascii="仿宋" w:hAnsi="仿宋" w:eastAsia="仿宋" w:cs="仿宋"/>
          <w:color w:val="000000" w:themeColor="text1"/>
          <w:sz w:val="30"/>
          <w:szCs w:val="30"/>
        </w:rPr>
        <w:t xml:space="preserve"> 推荐过程坚持公平、公正、公开和集体研究、集体决策的原则；坚持以保障选拔质量为核心，对学生进行全面考查、综合评价、择优选拔的原则；坚持以德为先、突出考查学业表现、引导学生全面发展的原则。</w:t>
      </w:r>
    </w:p>
    <w:p w14:paraId="3A6618A3">
      <w:pPr>
        <w:spacing w:line="500" w:lineRule="exact"/>
        <w:ind w:firstLine="602" w:firstLineChars="200"/>
        <w:rPr>
          <w:rFonts w:ascii="仿宋" w:hAnsi="仿宋" w:eastAsia="仿宋" w:cs="仿宋"/>
          <w:color w:val="000000" w:themeColor="text1"/>
          <w:sz w:val="30"/>
          <w:szCs w:val="30"/>
        </w:rPr>
      </w:pPr>
      <w:r>
        <w:rPr>
          <w:rFonts w:hint="eastAsia" w:ascii="仿宋" w:hAnsi="仿宋" w:eastAsia="仿宋" w:cs="仿宋"/>
          <w:b/>
          <w:bCs/>
          <w:color w:val="000000" w:themeColor="text1"/>
          <w:sz w:val="30"/>
          <w:szCs w:val="30"/>
        </w:rPr>
        <w:t>第三条</w:t>
      </w:r>
      <w:r>
        <w:rPr>
          <w:rFonts w:hint="eastAsia" w:ascii="仿宋" w:hAnsi="仿宋" w:eastAsia="仿宋" w:cs="仿宋"/>
          <w:color w:val="000000" w:themeColor="text1"/>
          <w:kern w:val="0"/>
          <w:sz w:val="30"/>
          <w:szCs w:val="30"/>
        </w:rPr>
        <w:t xml:space="preserve"> 学院成立推免生遴选工作小组和推免生材料审核专家小组。学院推免生遴选工作小组由书记、院长担任组长，成员由分管本科教学、学生管理、科研、研究生教育工作的学院领导和负责人以及相关学科的教师、导师代表组成，负责制定本学院推免工作方案、审查学生申请材料、对申请学生进行综合测评并提出初步推荐名单等工作。学院成立推免生材料审核专家小组，由院长担任组长，成员由分管本科教学工作副院长和各教研室主任、教务秘书组成，对学生科研创新成果、学科竞赛获奖及主持项目等真实性和有效性进行审核鉴定。</w:t>
      </w:r>
    </w:p>
    <w:p w14:paraId="44896184">
      <w:pPr>
        <w:spacing w:line="500" w:lineRule="exact"/>
        <w:ind w:firstLine="602" w:firstLineChars="200"/>
        <w:rPr>
          <w:rFonts w:ascii="仿宋" w:hAnsi="仿宋" w:eastAsia="仿宋" w:cs="仿宋"/>
          <w:color w:val="000000" w:themeColor="text1"/>
          <w:sz w:val="30"/>
          <w:szCs w:val="30"/>
        </w:rPr>
      </w:pPr>
      <w:r>
        <w:rPr>
          <w:rFonts w:hint="eastAsia" w:ascii="仿宋" w:hAnsi="仿宋" w:eastAsia="仿宋" w:cs="仿宋"/>
          <w:b/>
          <w:bCs/>
          <w:color w:val="000000" w:themeColor="text1"/>
          <w:sz w:val="30"/>
          <w:szCs w:val="30"/>
        </w:rPr>
        <w:t>第四条</w:t>
      </w:r>
      <w:r>
        <w:rPr>
          <w:rFonts w:hint="eastAsia" w:ascii="仿宋" w:hAnsi="仿宋" w:eastAsia="仿宋" w:cs="仿宋"/>
          <w:color w:val="000000" w:themeColor="text1"/>
          <w:sz w:val="30"/>
          <w:szCs w:val="30"/>
        </w:rPr>
        <w:t xml:space="preserve"> 学院从具备下列条件的学生中择优遴选推免生：</w:t>
      </w:r>
    </w:p>
    <w:p w14:paraId="35CE3D1A">
      <w:pPr>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一、推荐范围仅限于纳入国家普通本科招生计划录取的应届毕业生（不含专升本、第二学士学位、独立学院和国家相关文件规定的其他类别学生）；</w:t>
      </w:r>
    </w:p>
    <w:p w14:paraId="27FC654D">
      <w:pPr>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kern w:val="0"/>
          <w:sz w:val="30"/>
          <w:szCs w:val="30"/>
        </w:rPr>
        <w:t>二、身心健康。心理健康，无心理疾患；身体健康状况符合2003年卫生部、国家残疾人联合会颁发的《普通高等学校招生体检工作指导意见》的体检标准。</w:t>
      </w:r>
    </w:p>
    <w:p w14:paraId="4084C41A">
      <w:pPr>
        <w:spacing w:line="500" w:lineRule="exact"/>
        <w:ind w:firstLine="600" w:firstLineChars="200"/>
        <w:rPr>
          <w:rFonts w:ascii="仿宋" w:hAnsi="仿宋" w:eastAsia="仿宋" w:cs="仿宋"/>
          <w:color w:val="000000" w:themeColor="text1"/>
          <w:kern w:val="0"/>
          <w:sz w:val="30"/>
          <w:szCs w:val="30"/>
        </w:rPr>
      </w:pPr>
      <w:r>
        <w:rPr>
          <w:rFonts w:hint="eastAsia" w:ascii="仿宋" w:hAnsi="仿宋" w:eastAsia="仿宋" w:cs="仿宋"/>
          <w:color w:val="000000" w:themeColor="text1"/>
          <w:kern w:val="0"/>
          <w:sz w:val="30"/>
          <w:szCs w:val="30"/>
        </w:rPr>
        <w:t>三、品行优良。坚持以德为先。注重对学生政治态度、思想表现、道德品质、科学精神、诚实守信、遵纪守法等方面的考查。学生遵守高等学校学生行为准则，履行了高等学校学生义务；学风端正，诚实守信，无任何因考试作弊、学术不端、违法违纪受到处分的记录，思想品德考核合格。</w:t>
      </w:r>
    </w:p>
    <w:p w14:paraId="79D7D77D">
      <w:pPr>
        <w:spacing w:line="5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（三）品行优良。遵守高等学校学生行为准则，履行高等学校学生义务；学风端正，诚实守信，无任何因考试作弊、学术不端、违法违纪受到处分的记录，思想品德考核合格。</w:t>
      </w:r>
    </w:p>
    <w:p w14:paraId="70FCF472">
      <w:pPr>
        <w:spacing w:line="5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（四）学业优秀 </w:t>
      </w:r>
    </w:p>
    <w:p w14:paraId="6D5BB23B">
      <w:pPr>
        <w:spacing w:line="5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 xml:space="preserve">1.人才培养方案中规定的通识必修课、学科基础课、专业主干课首考无不及格； </w:t>
      </w:r>
    </w:p>
    <w:p w14:paraId="73E14683">
      <w:pPr>
        <w:spacing w:line="500" w:lineRule="exact"/>
        <w:ind w:firstLine="600" w:firstLineChars="200"/>
        <w:rPr>
          <w:rFonts w:ascii="仿宋" w:hAnsi="仿宋" w:eastAsia="仿宋" w:cs="仿宋"/>
          <w:color w:val="000000"/>
          <w:kern w:val="0"/>
          <w:sz w:val="30"/>
          <w:szCs w:val="30"/>
        </w:rPr>
      </w:pPr>
      <w:r>
        <w:rPr>
          <w:rFonts w:hint="eastAsia" w:ascii="仿宋" w:hAnsi="仿宋" w:eastAsia="仿宋" w:cs="仿宋"/>
          <w:color w:val="000000"/>
          <w:kern w:val="0"/>
          <w:sz w:val="30"/>
          <w:szCs w:val="30"/>
        </w:rPr>
        <w:t>2.第1至6学期（学制四年）按本专业人才培养方案的课程设置及要求，所有课程（除通识选修课外）首考平均学分绩在本专业排名前10%以内（只舍不入）； 或主持获得湖南省“金种子杯”大学生创业大赛金、银、铜奖项目；或主持获得湖南省大学生创业投资基金项目；</w:t>
      </w:r>
    </w:p>
    <w:p w14:paraId="400959E9">
      <w:pPr>
        <w:spacing w:line="500" w:lineRule="exact"/>
        <w:ind w:firstLine="600" w:firstLineChars="200"/>
        <w:rPr>
          <w:rFonts w:ascii="仿宋" w:hAnsi="仿宋" w:eastAsia="仿宋" w:cs="仿宋"/>
          <w:color w:val="000000" w:themeColor="text1"/>
          <w:kern w:val="0"/>
          <w:sz w:val="30"/>
          <w:szCs w:val="30"/>
        </w:rPr>
      </w:pPr>
      <w:r>
        <w:rPr>
          <w:rFonts w:hint="eastAsia" w:ascii="仿宋" w:hAnsi="仿宋" w:eastAsia="仿宋" w:cs="仿宋"/>
          <w:color w:val="000000"/>
          <w:kern w:val="0"/>
          <w:sz w:val="30"/>
          <w:szCs w:val="30"/>
        </w:rPr>
        <w:t>3.非外语类专业学生全国大学英语四级考试成绩≥425 分；小语种学生通过相应的小语种四级考试。</w:t>
      </w:r>
    </w:p>
    <w:p w14:paraId="0CE211D1">
      <w:pPr>
        <w:spacing w:line="500" w:lineRule="exact"/>
        <w:ind w:firstLine="602" w:firstLineChars="200"/>
        <w:rPr>
          <w:rFonts w:ascii="仿宋" w:hAnsi="仿宋" w:eastAsia="仿宋" w:cs="仿宋"/>
          <w:color w:val="000000" w:themeColor="text1"/>
          <w:kern w:val="0"/>
          <w:sz w:val="30"/>
          <w:szCs w:val="30"/>
        </w:rPr>
      </w:pPr>
      <w:r>
        <w:rPr>
          <w:rFonts w:hint="eastAsia" w:ascii="仿宋" w:hAnsi="仿宋" w:eastAsia="仿宋" w:cs="仿宋"/>
          <w:b/>
          <w:color w:val="000000" w:themeColor="text1"/>
          <w:kern w:val="0"/>
          <w:sz w:val="30"/>
          <w:szCs w:val="30"/>
        </w:rPr>
        <w:t>第五条</w:t>
      </w:r>
      <w:r>
        <w:rPr>
          <w:rFonts w:hint="eastAsia" w:ascii="仿宋" w:hAnsi="仿宋" w:eastAsia="仿宋" w:cs="仿宋"/>
          <w:color w:val="000000" w:themeColor="text1"/>
          <w:kern w:val="0"/>
          <w:sz w:val="30"/>
          <w:szCs w:val="30"/>
        </w:rPr>
        <w:t xml:space="preserve"> 成绩计算范围与计算方法：</w:t>
      </w:r>
    </w:p>
    <w:p w14:paraId="0982A063">
      <w:pPr>
        <w:spacing w:line="500" w:lineRule="exact"/>
        <w:ind w:firstLine="600" w:firstLineChars="200"/>
        <w:rPr>
          <w:rFonts w:ascii="仿宋" w:hAnsi="仿宋" w:eastAsia="仿宋" w:cs="仿宋"/>
          <w:color w:val="000000" w:themeColor="text1"/>
          <w:kern w:val="0"/>
          <w:sz w:val="30"/>
          <w:szCs w:val="30"/>
        </w:rPr>
      </w:pPr>
      <w:r>
        <w:rPr>
          <w:rFonts w:hint="eastAsia" w:ascii="仿宋" w:hAnsi="仿宋" w:eastAsia="仿宋" w:cs="仿宋"/>
          <w:color w:val="000000" w:themeColor="text1"/>
          <w:kern w:val="0"/>
          <w:sz w:val="30"/>
          <w:szCs w:val="30"/>
        </w:rPr>
        <w:t>一、满足推免生申请条件的学生为推荐免试攻读硕士学位研究生候选人，由学院推免生遴选工作小组和推免生材料审核专家小组组织对候选人进行综合测评，根据综合测评得分从高到低排序（前三学年），确定推荐初选名单。</w:t>
      </w:r>
      <w:r>
        <w:rPr>
          <w:rFonts w:hint="eastAsia" w:ascii="仿宋" w:hAnsi="仿宋" w:eastAsia="仿宋" w:cs="仿宋"/>
          <w:b/>
          <w:color w:val="000000" w:themeColor="text1"/>
          <w:kern w:val="0"/>
          <w:sz w:val="30"/>
          <w:szCs w:val="30"/>
        </w:rPr>
        <w:t>如有获得候选资格的推免学生在公示期内主动放弃推免资格，经学校同意后，按照综合测评得分从高到低递补推荐。</w:t>
      </w:r>
    </w:p>
    <w:p w14:paraId="32420F67">
      <w:pPr>
        <w:spacing w:line="500" w:lineRule="exact"/>
        <w:ind w:firstLine="602" w:firstLineChars="200"/>
        <w:rPr>
          <w:rFonts w:hint="default" w:ascii="仿宋" w:hAnsi="仿宋" w:eastAsia="仿宋" w:cs="仿宋"/>
          <w:b/>
          <w:color w:val="000000" w:themeColor="text1"/>
          <w:kern w:val="0"/>
          <w:sz w:val="30"/>
          <w:szCs w:val="30"/>
          <w:lang w:val="en-US" w:eastAsia="zh-CN"/>
        </w:rPr>
      </w:pPr>
      <w:r>
        <w:rPr>
          <w:rFonts w:hint="eastAsia" w:ascii="仿宋" w:hAnsi="仿宋" w:eastAsia="仿宋" w:cs="仿宋"/>
          <w:b/>
          <w:color w:val="000000" w:themeColor="text1"/>
          <w:kern w:val="0"/>
          <w:sz w:val="30"/>
          <w:szCs w:val="30"/>
        </w:rPr>
        <w:t>综合测评分=学业成绩+综合考核成绩</w:t>
      </w:r>
      <w:r>
        <w:rPr>
          <w:rFonts w:hint="eastAsia" w:ascii="仿宋" w:hAnsi="仿宋" w:eastAsia="仿宋" w:cs="仿宋"/>
          <w:b/>
          <w:color w:val="000000" w:themeColor="text1"/>
          <w:kern w:val="0"/>
          <w:sz w:val="30"/>
          <w:szCs w:val="30"/>
          <w:lang w:eastAsia="zh-CN"/>
        </w:rPr>
        <w:t>。</w:t>
      </w:r>
      <w:r>
        <w:rPr>
          <w:rFonts w:hint="eastAsia" w:ascii="仿宋" w:hAnsi="仿宋" w:eastAsia="仿宋" w:cs="仿宋"/>
          <w:b/>
          <w:color w:val="000000" w:themeColor="text1"/>
          <w:kern w:val="0"/>
          <w:sz w:val="30"/>
          <w:szCs w:val="30"/>
          <w:lang w:val="en-US" w:eastAsia="zh-CN"/>
        </w:rPr>
        <w:t>综合测评分总分100分，其中学业成绩占80%，综合考核成绩占20%。</w:t>
      </w:r>
    </w:p>
    <w:p w14:paraId="195FB793">
      <w:pPr>
        <w:spacing w:line="500" w:lineRule="exact"/>
        <w:ind w:firstLine="602" w:firstLineChars="200"/>
        <w:rPr>
          <w:rFonts w:hint="eastAsia" w:ascii="仿宋" w:hAnsi="仿宋" w:eastAsia="仿宋" w:cs="仿宋"/>
          <w:b/>
          <w:bCs/>
          <w:color w:val="000000" w:themeColor="text1"/>
          <w:sz w:val="30"/>
          <w:szCs w:val="30"/>
        </w:rPr>
      </w:pPr>
      <w:r>
        <w:rPr>
          <w:rFonts w:hint="eastAsia" w:ascii="仿宋" w:hAnsi="仿宋" w:eastAsia="仿宋" w:cs="仿宋"/>
          <w:b/>
          <w:bCs/>
          <w:color w:val="000000" w:themeColor="text1"/>
          <w:sz w:val="30"/>
          <w:szCs w:val="30"/>
        </w:rPr>
        <w:t>二、学业成绩计算范围与计算方法</w:t>
      </w:r>
      <w:bookmarkStart w:id="0" w:name="_GoBack"/>
      <w:bookmarkEnd w:id="0"/>
    </w:p>
    <w:p w14:paraId="57C98209">
      <w:pPr>
        <w:spacing w:line="500" w:lineRule="exact"/>
        <w:ind w:firstLine="602" w:firstLineChars="200"/>
        <w:rPr>
          <w:rFonts w:hint="default" w:ascii="仿宋" w:hAnsi="仿宋" w:eastAsia="仿宋" w:cs="仿宋"/>
          <w:b/>
          <w:bCs/>
          <w:color w:val="000000" w:themeColor="text1"/>
          <w:sz w:val="30"/>
          <w:szCs w:val="30"/>
          <w:lang w:val="en-US" w:eastAsia="zh-CN"/>
        </w:rPr>
      </w:pPr>
      <w:r>
        <w:rPr>
          <w:rFonts w:hint="eastAsia" w:ascii="仿宋" w:hAnsi="仿宋" w:eastAsia="仿宋" w:cs="仿宋"/>
          <w:b/>
          <w:bCs/>
          <w:color w:val="000000" w:themeColor="text1"/>
          <w:sz w:val="30"/>
          <w:szCs w:val="30"/>
          <w:lang w:val="en-US" w:eastAsia="zh-CN"/>
        </w:rPr>
        <w:t>学业成绩得分=候选人实际平均学分绩×80%。</w:t>
      </w:r>
    </w:p>
    <w:p w14:paraId="7F1906A6">
      <w:pPr>
        <w:spacing w:line="50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学业成绩包括各专业《本科人才培养方案》设置的所有课程（不包含通识选修课）成绩，</w:t>
      </w:r>
      <w:r>
        <w:rPr>
          <w:rFonts w:hint="eastAsia" w:ascii="仿宋" w:hAnsi="仿宋" w:eastAsia="仿宋" w:cs="仿宋"/>
          <w:color w:val="000000" w:themeColor="text1"/>
          <w:sz w:val="30"/>
          <w:szCs w:val="30"/>
          <w:lang w:val="en-US" w:eastAsia="zh-CN"/>
        </w:rPr>
        <w:t>候选人实际平均学分绩</w:t>
      </w:r>
      <w:r>
        <w:rPr>
          <w:rFonts w:hint="eastAsia" w:ascii="仿宋" w:hAnsi="仿宋" w:eastAsia="仿宋" w:cs="仿宋"/>
          <w:color w:val="000000" w:themeColor="text1"/>
          <w:sz w:val="30"/>
          <w:szCs w:val="30"/>
        </w:rPr>
        <w:t>以强智系统导出的平均学分绩为准。</w:t>
      </w:r>
    </w:p>
    <w:p w14:paraId="7354FD68">
      <w:pPr>
        <w:spacing w:line="500" w:lineRule="exact"/>
        <w:ind w:firstLine="602" w:firstLineChars="200"/>
        <w:rPr>
          <w:rFonts w:ascii="仿宋" w:hAnsi="仿宋" w:eastAsia="仿宋" w:cs="仿宋"/>
          <w:b/>
          <w:color w:val="000000" w:themeColor="text1"/>
          <w:sz w:val="30"/>
          <w:szCs w:val="30"/>
        </w:rPr>
      </w:pPr>
      <w:r>
        <w:rPr>
          <w:rFonts w:hint="eastAsia" w:ascii="仿宋" w:hAnsi="仿宋" w:eastAsia="仿宋" w:cs="仿宋"/>
          <w:b/>
          <w:color w:val="000000" w:themeColor="text1"/>
          <w:sz w:val="30"/>
          <w:szCs w:val="30"/>
        </w:rPr>
        <w:t>三、综合考核成绩计算范围与计算方法。</w:t>
      </w:r>
      <w:r>
        <w:rPr>
          <w:rFonts w:hint="eastAsia" w:ascii="仿宋" w:hAnsi="仿宋" w:eastAsia="仿宋" w:cs="仿宋"/>
          <w:color w:val="000000" w:themeColor="text1"/>
          <w:sz w:val="30"/>
          <w:szCs w:val="30"/>
        </w:rPr>
        <w:t>根据《吉首大学推荐优秀应届本科毕业生免试攻读硕士学位研究生综合考核认定标准》,把科研创新成果、学科竞赛获奖及主持项目、参加有组织的志愿服务、到国际组织实习、参军入伍服兵役、省部级及以上重要荣誉称号因素纳入综合考核指标，并设置各指标分值及上限。</w:t>
      </w:r>
      <w:r>
        <w:rPr>
          <w:rFonts w:hint="eastAsia" w:ascii="仿宋" w:hAnsi="仿宋" w:eastAsia="仿宋" w:cs="仿宋"/>
          <w:b/>
          <w:color w:val="000000" w:themeColor="text1"/>
          <w:sz w:val="30"/>
          <w:szCs w:val="30"/>
        </w:rPr>
        <w:t>综合考核成绩总分满分为100分，占综合测评分的20%。</w:t>
      </w:r>
    </w:p>
    <w:p w14:paraId="10F70232">
      <w:pPr>
        <w:tabs>
          <w:tab w:val="left" w:pos="720"/>
        </w:tabs>
        <w:spacing w:line="5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（一）科研创新成果（上限30分）</w:t>
      </w:r>
    </w:p>
    <w:p w14:paraId="7C88F1D3">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科研论文。指学生在高水平期刊（不含增刊）以独立作者或第一作者，或与指导老师联合发表（指导老师为第一作者，学生为第二作者，指导老师须为本校本学科专业教师）与学业相关的科研论文，论文以正式发表为准，仅有录用通知不得纳入。高水平期刊认定依据为《关于印发&lt;吉首大学人文社会科学项目与成果奖励办法&gt;&lt;吉首大学自然科学项目与技术成果奖励办法&gt;的通知》（吉大发〔2018〕53号）与《吉首大学高质量学术论文认定及期刊分级办法 (试行)》（吉大发〔2023〕26号）。</w:t>
      </w:r>
    </w:p>
    <w:p w14:paraId="711ADBFA">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计分标准：学生为独立作者或第一作者，每篇A类期刊计30分，B类期刊计20分，C类期刊计15分，D类期刊计10分，E类期刊计8分；指导老师为第一作者，学生为第二作者，每篇A类期刊计15分，B类期刊计10分，C类期刊计7.5分，D类期刊计5分，E类期刊计4分。</w:t>
      </w:r>
    </w:p>
    <w:p w14:paraId="69D51445">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专利。指学生为第一申请人，或与指导老师联合（指导老师为第一申请人，学生为第二申请人，指导老师须为本校本学科专业教师）获得与学业相关的授权国际发明专利、国家发明专利、国家实用新型专利或外观设计或软件著作权。</w:t>
      </w:r>
    </w:p>
    <w:p w14:paraId="0C6A7431">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计分标准：（1）国际发明专利或国家发明专利。学生为第一申请人，每项计10分；指导老师为第一申请人、学生为第二申请人，每项计5分。（2）国家实用新型专利或外观设计或软件著作权。学生为第一申请人，每项计2分；指导老师为第一申请人、学生为第二申请人，每项计1分。</w:t>
      </w:r>
    </w:p>
    <w:p w14:paraId="1702622B">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学术专著。学生独著或第一作者，或与指导老师联合（指导老师为第一作者，学生为第二作者，指导老师须为本校本学科专业教师）公开出版的与学业相关的学术专著（含著作、编著、译著），学生独著或第一作者，每部计15分；指导老师为第一作者，学生为第二作者，每部计5分；学生参编每部计2分。</w:t>
      </w:r>
    </w:p>
    <w:p w14:paraId="353BB54F">
      <w:pPr>
        <w:widowControl/>
        <w:spacing w:line="500" w:lineRule="exact"/>
        <w:ind w:firstLine="600" w:firstLineChars="200"/>
        <w:jc w:val="left"/>
        <w:rPr>
          <w:rFonts w:ascii="仿宋" w:hAnsi="仿宋" w:eastAsia="仿宋" w:cs="仿宋"/>
          <w:sz w:val="30"/>
          <w:szCs w:val="30"/>
        </w:rPr>
      </w:pPr>
      <w:r>
        <w:rPr>
          <w:rFonts w:hint="eastAsia" w:ascii="仿宋" w:hAnsi="仿宋" w:eastAsia="仿宋" w:cs="仿宋"/>
          <w:sz w:val="30"/>
          <w:szCs w:val="30"/>
        </w:rPr>
        <w:t>4.学生获与学业相关的自然科学奖、科学技术进步奖、技术发明奖、哲学社会科学研究优秀成果奖，国家级奖项及省级一等奖计30分，省级二等奖计20分、省级三等奖计15分。</w:t>
      </w:r>
    </w:p>
    <w:p w14:paraId="637E2B69">
      <w:pPr>
        <w:tabs>
          <w:tab w:val="left" w:pos="720"/>
        </w:tabs>
        <w:spacing w:line="5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（二）学科竞赛获奖及主持项目（上限30分）</w:t>
      </w:r>
    </w:p>
    <w:p w14:paraId="0D88E6A9">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1.学科竞赛</w:t>
      </w:r>
    </w:p>
    <w:p w14:paraId="065A1C95">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学科竞赛获奖为独立参加或作为主力成员参加与学业相关的国家级或国际学科竞赛，并获得国家级三等奖及以上。学科竞赛项目及分类的认定依据为教务处当年发布的学科竞赛目录。</w:t>
      </w:r>
    </w:p>
    <w:p w14:paraId="5C1DF129">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（1）参加A类学科竞赛中的互联网+、挑战杯，获特等奖、一等奖、二等奖、三等奖分别计30分、20分、10分、5分；</w:t>
      </w:r>
    </w:p>
    <w:p w14:paraId="741E7E31">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（2）参加A类学科竞赛中的其它项目，获特等奖、一等奖、二等奖、三等奖分别计15分、10分、5分、2.5分；</w:t>
      </w:r>
    </w:p>
    <w:p w14:paraId="7E563C5D">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（3）参加B类学科竞赛，获特等奖、一等奖、二等奖、三等奖，分别计5分、4分、3分、2分；</w:t>
      </w:r>
    </w:p>
    <w:p w14:paraId="1AEEAF54">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（4）参加C类学科竞赛，获特等奖、一等奖、二等奖、三等奖，分别计2.5分、2分、1.5分、1分。</w:t>
      </w:r>
    </w:p>
    <w:p w14:paraId="2225D8A9">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2.主持项目</w:t>
      </w:r>
    </w:p>
    <w:p w14:paraId="714C4432">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（1）主持大学生创新创业训练计划项目，获国家级立项每项计5分、省级立项每项计2.5分。同一项目按最高级别计分。</w:t>
      </w:r>
    </w:p>
    <w:p w14:paraId="37E52C1D">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（2）主持获省自科、社科基金等省级科研项目立项，每项计20分。</w:t>
      </w:r>
    </w:p>
    <w:p w14:paraId="1537861F">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（3）主持获得湖南省大学生创业投资基金项目资助经费＜20万元，单项计15分；资助经费≥20万元，单项计30分。</w:t>
      </w:r>
    </w:p>
    <w:p w14:paraId="52571AFA">
      <w:pPr>
        <w:tabs>
          <w:tab w:val="left" w:pos="720"/>
        </w:tabs>
        <w:spacing w:line="5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（三）参加有组织的志愿服务（上限5分）</w:t>
      </w:r>
    </w:p>
    <w:p w14:paraId="65BA7BB3">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参加学校或上级主管部门组织的社会实践、志愿服务获国家级荣誉计5分，省级荣誉计3分。</w:t>
      </w:r>
    </w:p>
    <w:p w14:paraId="1023B7B1">
      <w:pPr>
        <w:tabs>
          <w:tab w:val="left" w:pos="720"/>
        </w:tabs>
        <w:spacing w:line="5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（四）到国际组织实习（上限10分）</w:t>
      </w:r>
    </w:p>
    <w:p w14:paraId="2F854CCF">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学生参加学校或上级主管部门组织的国际组织实习，每次计5分。国际组织认定依据为教育部“高校毕业生到国际组织实习任职信息服务平台”发布的机构。</w:t>
      </w:r>
    </w:p>
    <w:p w14:paraId="24467036">
      <w:pPr>
        <w:tabs>
          <w:tab w:val="left" w:pos="720"/>
        </w:tabs>
        <w:spacing w:line="5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（五）参军入伍服兵役（上限10分）</w:t>
      </w:r>
    </w:p>
    <w:p w14:paraId="7003C6FE">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1.本科在校期间应征入伍，退役后回校就读，计5分。</w:t>
      </w:r>
    </w:p>
    <w:p w14:paraId="74A1FAEA">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2.在服役期间荣立个人二等功，计2分。</w:t>
      </w:r>
    </w:p>
    <w:p w14:paraId="0BD41D90">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3.服役期间获团级（含）以上单位嘉奖、优秀士兵、四有士兵等荣誉称号，计1分。</w:t>
      </w:r>
    </w:p>
    <w:p w14:paraId="3564A83F">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4.服役期间代表国家参加国际赛事获个人一等奖，计3分。</w:t>
      </w:r>
    </w:p>
    <w:p w14:paraId="7448CB67">
      <w:pPr>
        <w:tabs>
          <w:tab w:val="left" w:pos="720"/>
        </w:tabs>
        <w:spacing w:line="500" w:lineRule="exact"/>
        <w:ind w:firstLine="602" w:firstLineChars="200"/>
        <w:rPr>
          <w:rFonts w:ascii="仿宋" w:hAnsi="仿宋" w:eastAsia="仿宋" w:cs="仿宋"/>
          <w:b/>
          <w:bCs/>
          <w:sz w:val="30"/>
          <w:szCs w:val="30"/>
        </w:rPr>
      </w:pPr>
      <w:r>
        <w:rPr>
          <w:rFonts w:hint="eastAsia" w:ascii="仿宋" w:hAnsi="仿宋" w:eastAsia="仿宋" w:cs="仿宋"/>
          <w:b/>
          <w:bCs/>
          <w:sz w:val="30"/>
          <w:szCs w:val="30"/>
        </w:rPr>
        <w:t>（六）学生重要荣誉称号（上限15分）</w:t>
      </w:r>
    </w:p>
    <w:p w14:paraId="7F56E684">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1.获中国青年五四奖章、全国道德模范等荣誉称号，计15分；</w:t>
      </w:r>
    </w:p>
    <w:p w14:paraId="6D82306F">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2.获全国三好学生、优秀学生干部、优秀共产党员、优秀共青团员、优秀共青团干部、大学生自强之星称号者，计10分；</w:t>
      </w:r>
    </w:p>
    <w:p w14:paraId="3EBB3A24">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3.获湖南青年五四奖章者，计10分；</w:t>
      </w:r>
    </w:p>
    <w:p w14:paraId="08C6F02F">
      <w:pPr>
        <w:tabs>
          <w:tab w:val="left" w:pos="720"/>
        </w:tabs>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4.获湖南省三好学生、优秀学生干部、优秀共产党员、优秀共青团员、优秀共青团干部、最美大学生称号者，计5分。</w:t>
      </w:r>
    </w:p>
    <w:p w14:paraId="34F97E0E">
      <w:pPr>
        <w:tabs>
          <w:tab w:val="left" w:pos="720"/>
        </w:tabs>
        <w:spacing w:line="500" w:lineRule="exact"/>
        <w:ind w:firstLine="602" w:firstLineChars="200"/>
        <w:rPr>
          <w:rFonts w:ascii="仿宋" w:hAnsi="仿宋" w:eastAsia="仿宋" w:cs="仿宋"/>
          <w:b/>
          <w:color w:val="000000" w:themeColor="text1"/>
          <w:sz w:val="30"/>
          <w:szCs w:val="30"/>
        </w:rPr>
      </w:pPr>
      <w:r>
        <w:rPr>
          <w:rFonts w:hint="eastAsia" w:ascii="仿宋" w:hAnsi="仿宋" w:eastAsia="仿宋" w:cs="仿宋"/>
          <w:b/>
          <w:color w:val="000000" w:themeColor="text1"/>
          <w:sz w:val="30"/>
          <w:szCs w:val="30"/>
        </w:rPr>
        <w:t>（七）相关说明</w:t>
      </w:r>
    </w:p>
    <w:p w14:paraId="5A3B98FA">
      <w:pPr>
        <w:tabs>
          <w:tab w:val="left" w:pos="720"/>
        </w:tabs>
        <w:spacing w:line="500" w:lineRule="exact"/>
        <w:ind w:firstLine="600" w:firstLineChars="200"/>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1.上述成果或荣誉，归属第一单位必须是吉首大学。</w:t>
      </w:r>
    </w:p>
    <w:p w14:paraId="786E3432">
      <w:pPr>
        <w:tabs>
          <w:tab w:val="left" w:pos="720"/>
        </w:tabs>
        <w:spacing w:line="500" w:lineRule="exact"/>
        <w:ind w:firstLine="600" w:firstLineChars="200"/>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2.上述成果或荣誉，必须为学生自本科入学开始、截至报名之日止所获得的。</w:t>
      </w:r>
    </w:p>
    <w:p w14:paraId="52DA2852">
      <w:pPr>
        <w:tabs>
          <w:tab w:val="left" w:pos="720"/>
        </w:tabs>
        <w:spacing w:line="500" w:lineRule="exact"/>
        <w:ind w:firstLine="600" w:firstLineChars="200"/>
        <w:rPr>
          <w:rFonts w:hint="eastAsia" w:ascii="仿宋" w:hAnsi="仿宋" w:eastAsia="仿宋" w:cs="仿宋"/>
          <w:color w:val="000000" w:themeColor="text1"/>
          <w:sz w:val="30"/>
          <w:szCs w:val="30"/>
        </w:rPr>
      </w:pPr>
      <w:r>
        <w:rPr>
          <w:rFonts w:hint="eastAsia" w:ascii="仿宋" w:hAnsi="仿宋" w:eastAsia="仿宋" w:cs="仿宋"/>
          <w:color w:val="000000" w:themeColor="text1"/>
          <w:sz w:val="30"/>
          <w:szCs w:val="30"/>
        </w:rPr>
        <w:t>3.为严防抄袭、造假、冒名及有名无实等情况，对学生提交的科研创新成果、学科竞赛获奖和主持项目的，学院将组织学生在学院进行公开答辩，答辩全程录音录像。审核专家小组根据学生提交的材料、公开答辩等情况给出明确审核意见并签字存档。对于与指导老师联合发表的论文或参赛的，指导老师应出具推荐信，客观陈述学生在联合成果中所做的实际贡献。</w:t>
      </w:r>
    </w:p>
    <w:p w14:paraId="2B30F14C">
      <w:pPr>
        <w:tabs>
          <w:tab w:val="left" w:pos="720"/>
        </w:tabs>
        <w:spacing w:line="5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学科竞赛、社会实践、志愿服务以小组或者集体获奖。两人组队参赛（参加）获奖，按照排名第一、第二分别分配计分的70%、30%；多人组队参赛（参加）获奖，按照排名第一、第二、第三分别分配计分的50%、30%、20%，排名第四及以后，不纳入计分范围。</w:t>
      </w:r>
    </w:p>
    <w:p w14:paraId="199F69FC">
      <w:pPr>
        <w:spacing w:line="500" w:lineRule="exact"/>
        <w:ind w:firstLine="602" w:firstLineChars="200"/>
        <w:rPr>
          <w:rFonts w:ascii="仿宋" w:hAnsi="仿宋" w:eastAsia="仿宋" w:cs="仿宋"/>
          <w:color w:val="000000" w:themeColor="text1"/>
          <w:sz w:val="30"/>
          <w:szCs w:val="30"/>
        </w:rPr>
      </w:pPr>
      <w:r>
        <w:rPr>
          <w:rFonts w:hint="eastAsia" w:ascii="仿宋" w:hAnsi="仿宋" w:eastAsia="仿宋" w:cs="仿宋"/>
          <w:b/>
          <w:color w:val="000000" w:themeColor="text1"/>
          <w:sz w:val="30"/>
          <w:szCs w:val="30"/>
        </w:rPr>
        <w:t>第六条</w:t>
      </w:r>
      <w:r>
        <w:rPr>
          <w:rFonts w:hint="eastAsia" w:ascii="仿宋" w:hAnsi="仿宋" w:eastAsia="仿宋" w:cs="仿宋"/>
          <w:color w:val="000000" w:themeColor="text1"/>
          <w:sz w:val="30"/>
          <w:szCs w:val="30"/>
        </w:rPr>
        <w:t xml:space="preserve"> 如发现学生在推免工作中有弄虚作假行为，一经查实，除取消其推免资格外，另按学校有关规定进行处理。</w:t>
      </w:r>
    </w:p>
    <w:p w14:paraId="212AF947">
      <w:pPr>
        <w:tabs>
          <w:tab w:val="left" w:pos="720"/>
        </w:tabs>
        <w:spacing w:line="540" w:lineRule="exact"/>
        <w:rPr>
          <w:rFonts w:ascii="仿宋" w:hAnsi="仿宋" w:eastAsia="仿宋" w:cs="仿宋"/>
          <w:color w:val="000000" w:themeColor="text1"/>
          <w:sz w:val="30"/>
          <w:szCs w:val="30"/>
        </w:rPr>
      </w:pPr>
    </w:p>
    <w:p w14:paraId="3D2D830C">
      <w:pPr>
        <w:tabs>
          <w:tab w:val="left" w:pos="720"/>
        </w:tabs>
        <w:spacing w:line="540" w:lineRule="exact"/>
        <w:rPr>
          <w:rFonts w:ascii="仿宋" w:hAnsi="仿宋" w:eastAsia="仿宋" w:cs="仿宋"/>
          <w:color w:val="000000" w:themeColor="text1"/>
          <w:sz w:val="30"/>
          <w:szCs w:val="30"/>
        </w:rPr>
      </w:pPr>
    </w:p>
    <w:p w14:paraId="70F3CAC4">
      <w:pPr>
        <w:tabs>
          <w:tab w:val="left" w:pos="720"/>
        </w:tabs>
        <w:spacing w:line="500" w:lineRule="exact"/>
        <w:ind w:firstLine="5550" w:firstLineChars="185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吉首大学商学院</w:t>
      </w:r>
    </w:p>
    <w:p w14:paraId="6A384A5A">
      <w:pPr>
        <w:tabs>
          <w:tab w:val="left" w:pos="720"/>
        </w:tabs>
        <w:spacing w:line="500" w:lineRule="exact"/>
        <w:ind w:firstLine="5550" w:firstLineChars="185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2025年8月28日</w:t>
      </w:r>
    </w:p>
    <w:p w14:paraId="56CE0399">
      <w:pPr>
        <w:spacing w:line="540" w:lineRule="exact"/>
        <w:ind w:firstLine="600" w:firstLineChars="200"/>
        <w:rPr>
          <w:rFonts w:ascii="仿宋" w:hAnsi="仿宋" w:eastAsia="仿宋" w:cs="仿宋"/>
          <w:color w:val="000000" w:themeColor="text1"/>
          <w:sz w:val="30"/>
          <w:szCs w:val="30"/>
        </w:rPr>
      </w:pPr>
    </w:p>
    <w:p w14:paraId="2C2953F5">
      <w:pPr>
        <w:spacing w:line="540" w:lineRule="exact"/>
        <w:ind w:firstLine="600" w:firstLineChars="200"/>
        <w:rPr>
          <w:rFonts w:ascii="仿宋" w:hAnsi="仿宋" w:eastAsia="仿宋" w:cs="仿宋"/>
          <w:color w:val="000000" w:themeColor="text1"/>
          <w:sz w:val="30"/>
          <w:szCs w:val="30"/>
        </w:rPr>
      </w:pPr>
    </w:p>
    <w:p w14:paraId="47645069">
      <w:pPr>
        <w:spacing w:line="540" w:lineRule="exact"/>
        <w:ind w:firstLine="600" w:firstLineChars="200"/>
        <w:rPr>
          <w:rFonts w:ascii="仿宋" w:hAnsi="仿宋" w:eastAsia="仿宋" w:cs="仿宋"/>
          <w:color w:val="000000" w:themeColor="text1"/>
          <w:sz w:val="30"/>
          <w:szCs w:val="30"/>
        </w:rPr>
      </w:pPr>
    </w:p>
    <w:p w14:paraId="71945A18">
      <w:pPr>
        <w:spacing w:line="540" w:lineRule="exact"/>
        <w:ind w:firstLine="600" w:firstLineChars="200"/>
        <w:rPr>
          <w:rFonts w:ascii="仿宋" w:hAnsi="仿宋" w:eastAsia="仿宋" w:cs="仿宋"/>
          <w:color w:val="000000" w:themeColor="text1"/>
          <w:sz w:val="30"/>
          <w:szCs w:val="30"/>
        </w:rPr>
      </w:pPr>
    </w:p>
    <w:p w14:paraId="777FBA10">
      <w:pPr>
        <w:spacing w:line="54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附件1：《关于印发&lt;吉首大学人文社会科学项目与成果奖励办法&gt;&lt;吉首大学自然科学项目与技术成果奖励办法&gt;的通知》（吉大发〔2018〕53号）</w:t>
      </w:r>
    </w:p>
    <w:p w14:paraId="2A399DF7">
      <w:pPr>
        <w:spacing w:line="540" w:lineRule="exact"/>
        <w:ind w:firstLine="600" w:firstLineChars="200"/>
        <w:rPr>
          <w:rFonts w:ascii="仿宋" w:hAnsi="仿宋" w:eastAsia="仿宋" w:cs="仿宋"/>
          <w:color w:val="000000" w:themeColor="text1"/>
          <w:sz w:val="30"/>
          <w:szCs w:val="30"/>
        </w:rPr>
      </w:pPr>
      <w:r>
        <w:rPr>
          <w:rFonts w:hint="eastAsia" w:ascii="仿宋" w:hAnsi="仿宋" w:eastAsia="仿宋" w:cs="仿宋"/>
          <w:color w:val="000000" w:themeColor="text1"/>
          <w:sz w:val="30"/>
          <w:szCs w:val="30"/>
        </w:rPr>
        <w:t>附件2：《吉首大学高质量学术论文认定及期刊分级办法 (试行)》（吉大发〔2023〕26号）</w:t>
      </w:r>
    </w:p>
    <w:p w14:paraId="4382DC00">
      <w:pPr>
        <w:spacing w:line="360" w:lineRule="auto"/>
        <w:ind w:firstLine="480" w:firstLineChars="200"/>
        <w:rPr>
          <w:color w:val="000000" w:themeColor="text1"/>
          <w:sz w:val="24"/>
        </w:rPr>
      </w:pPr>
    </w:p>
    <w:p w14:paraId="6725142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銈㊞-⋅兊೧碋Ք亇䃢呇ഔ"/>
  </w:docVars>
  <w:rsids>
    <w:rsidRoot w:val="462426B2"/>
    <w:rsid w:val="00020269"/>
    <w:rsid w:val="00036479"/>
    <w:rsid w:val="00043617"/>
    <w:rsid w:val="00057F67"/>
    <w:rsid w:val="000952C1"/>
    <w:rsid w:val="000A2EE8"/>
    <w:rsid w:val="000D3C6E"/>
    <w:rsid w:val="00131DB0"/>
    <w:rsid w:val="001500A3"/>
    <w:rsid w:val="001E0F7B"/>
    <w:rsid w:val="002464D3"/>
    <w:rsid w:val="00256AC6"/>
    <w:rsid w:val="00267B2A"/>
    <w:rsid w:val="002706E9"/>
    <w:rsid w:val="00294541"/>
    <w:rsid w:val="002A578A"/>
    <w:rsid w:val="003008B8"/>
    <w:rsid w:val="003043AE"/>
    <w:rsid w:val="00314C2F"/>
    <w:rsid w:val="003973A2"/>
    <w:rsid w:val="003D53B4"/>
    <w:rsid w:val="004102F5"/>
    <w:rsid w:val="00435F90"/>
    <w:rsid w:val="00571E1A"/>
    <w:rsid w:val="00601489"/>
    <w:rsid w:val="00617E48"/>
    <w:rsid w:val="00633472"/>
    <w:rsid w:val="00662273"/>
    <w:rsid w:val="00667827"/>
    <w:rsid w:val="0070456D"/>
    <w:rsid w:val="0079177F"/>
    <w:rsid w:val="007A133C"/>
    <w:rsid w:val="007D145C"/>
    <w:rsid w:val="00805414"/>
    <w:rsid w:val="00820A4F"/>
    <w:rsid w:val="00884F04"/>
    <w:rsid w:val="0093740B"/>
    <w:rsid w:val="00970848"/>
    <w:rsid w:val="009B543E"/>
    <w:rsid w:val="009D59F2"/>
    <w:rsid w:val="00A40579"/>
    <w:rsid w:val="00AB2025"/>
    <w:rsid w:val="00AE53BF"/>
    <w:rsid w:val="00B4357F"/>
    <w:rsid w:val="00B879E5"/>
    <w:rsid w:val="00B94DF2"/>
    <w:rsid w:val="00BB3DEF"/>
    <w:rsid w:val="00BE0C10"/>
    <w:rsid w:val="00C139F3"/>
    <w:rsid w:val="00C20B3E"/>
    <w:rsid w:val="00C320C7"/>
    <w:rsid w:val="00D11F23"/>
    <w:rsid w:val="00D4482C"/>
    <w:rsid w:val="00D62B7B"/>
    <w:rsid w:val="00E55584"/>
    <w:rsid w:val="00EA216B"/>
    <w:rsid w:val="00F161C7"/>
    <w:rsid w:val="00F83A8A"/>
    <w:rsid w:val="00FA53E5"/>
    <w:rsid w:val="01471A19"/>
    <w:rsid w:val="01A00C4B"/>
    <w:rsid w:val="02851C26"/>
    <w:rsid w:val="03103E40"/>
    <w:rsid w:val="04AE2DE6"/>
    <w:rsid w:val="075F2776"/>
    <w:rsid w:val="080B5E70"/>
    <w:rsid w:val="08FF69EC"/>
    <w:rsid w:val="0FBB72F9"/>
    <w:rsid w:val="137B3313"/>
    <w:rsid w:val="13964047"/>
    <w:rsid w:val="185214A8"/>
    <w:rsid w:val="18F42F89"/>
    <w:rsid w:val="197113F3"/>
    <w:rsid w:val="19815ED2"/>
    <w:rsid w:val="19B1454E"/>
    <w:rsid w:val="1A566625"/>
    <w:rsid w:val="1A7506A4"/>
    <w:rsid w:val="1D15202E"/>
    <w:rsid w:val="1DDB1D29"/>
    <w:rsid w:val="21792826"/>
    <w:rsid w:val="28C31581"/>
    <w:rsid w:val="291F156B"/>
    <w:rsid w:val="2B101C3F"/>
    <w:rsid w:val="2B3F1384"/>
    <w:rsid w:val="2C2C62B2"/>
    <w:rsid w:val="2C564DDD"/>
    <w:rsid w:val="2ED767F5"/>
    <w:rsid w:val="2EEB6588"/>
    <w:rsid w:val="2FE079BA"/>
    <w:rsid w:val="309B2CB9"/>
    <w:rsid w:val="30E27E7E"/>
    <w:rsid w:val="30F1651D"/>
    <w:rsid w:val="31E954A9"/>
    <w:rsid w:val="367336B6"/>
    <w:rsid w:val="37196097"/>
    <w:rsid w:val="37CE75B8"/>
    <w:rsid w:val="38030BFF"/>
    <w:rsid w:val="380F4117"/>
    <w:rsid w:val="389D5322"/>
    <w:rsid w:val="3B8024AE"/>
    <w:rsid w:val="3B9A612F"/>
    <w:rsid w:val="3BD53EDD"/>
    <w:rsid w:val="3BE455FD"/>
    <w:rsid w:val="3E612F34"/>
    <w:rsid w:val="3EF109D7"/>
    <w:rsid w:val="3EF85133"/>
    <w:rsid w:val="3F3F21D5"/>
    <w:rsid w:val="405A33B1"/>
    <w:rsid w:val="41847666"/>
    <w:rsid w:val="41A878FC"/>
    <w:rsid w:val="433B47B7"/>
    <w:rsid w:val="446B5B00"/>
    <w:rsid w:val="4514315D"/>
    <w:rsid w:val="451F1902"/>
    <w:rsid w:val="462426B2"/>
    <w:rsid w:val="49F11610"/>
    <w:rsid w:val="4AA65A49"/>
    <w:rsid w:val="4B9261EB"/>
    <w:rsid w:val="4CF03E01"/>
    <w:rsid w:val="4F0E66F3"/>
    <w:rsid w:val="4FD277EE"/>
    <w:rsid w:val="507963F9"/>
    <w:rsid w:val="507F403F"/>
    <w:rsid w:val="5150702C"/>
    <w:rsid w:val="51C970C2"/>
    <w:rsid w:val="51EC75FB"/>
    <w:rsid w:val="57EB6F88"/>
    <w:rsid w:val="590E1667"/>
    <w:rsid w:val="597D14D2"/>
    <w:rsid w:val="5B902970"/>
    <w:rsid w:val="5BB97F95"/>
    <w:rsid w:val="5D693294"/>
    <w:rsid w:val="5E865F04"/>
    <w:rsid w:val="5F942D12"/>
    <w:rsid w:val="619E0364"/>
    <w:rsid w:val="63AD0AA1"/>
    <w:rsid w:val="64A137DB"/>
    <w:rsid w:val="64F46001"/>
    <w:rsid w:val="66D242BD"/>
    <w:rsid w:val="66E44B1A"/>
    <w:rsid w:val="68CD2DF1"/>
    <w:rsid w:val="6D1C5112"/>
    <w:rsid w:val="6D333F75"/>
    <w:rsid w:val="6EB16B58"/>
    <w:rsid w:val="6FB613F5"/>
    <w:rsid w:val="6FC01ACD"/>
    <w:rsid w:val="72EF4D83"/>
    <w:rsid w:val="7315161C"/>
    <w:rsid w:val="73216A1A"/>
    <w:rsid w:val="74867138"/>
    <w:rsid w:val="755518FD"/>
    <w:rsid w:val="773A78A3"/>
    <w:rsid w:val="77DD487F"/>
    <w:rsid w:val="77F0057F"/>
    <w:rsid w:val="78250553"/>
    <w:rsid w:val="78B806AC"/>
    <w:rsid w:val="78D0115D"/>
    <w:rsid w:val="7A990D85"/>
    <w:rsid w:val="7ACB4C15"/>
    <w:rsid w:val="7ADB102E"/>
    <w:rsid w:val="7AEC0141"/>
    <w:rsid w:val="7B132DB5"/>
    <w:rsid w:val="7C030BAC"/>
    <w:rsid w:val="7C4D0079"/>
    <w:rsid w:val="7CB62D90"/>
    <w:rsid w:val="7CD11B50"/>
    <w:rsid w:val="7D9C7738"/>
    <w:rsid w:val="7F113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jc w:val="left"/>
      <w:outlineLvl w:val="0"/>
    </w:pPr>
    <w:rPr>
      <w:rFonts w:hint="eastAsia" w:ascii="宋体" w:hAnsi="宋体" w:eastAsia="宋体" w:cs="Times New Roman"/>
      <w:b/>
      <w:kern w:val="44"/>
      <w:sz w:val="48"/>
      <w:szCs w:val="48"/>
    </w:rPr>
  </w:style>
  <w:style w:type="paragraph" w:styleId="3">
    <w:name w:val="heading 4"/>
    <w:basedOn w:val="1"/>
    <w:next w:val="1"/>
    <w:unhideWhenUsed/>
    <w:qFormat/>
    <w:uiPriority w:val="0"/>
    <w:pPr>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Date"/>
    <w:basedOn w:val="1"/>
    <w:next w:val="1"/>
    <w:link w:val="18"/>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character" w:styleId="11">
    <w:name w:val="FollowedHyperlink"/>
    <w:basedOn w:val="10"/>
    <w:qFormat/>
    <w:uiPriority w:val="0"/>
    <w:rPr>
      <w:color w:val="2D374B"/>
      <w:u w:val="none"/>
    </w:rPr>
  </w:style>
  <w:style w:type="character" w:styleId="12">
    <w:name w:val="Emphasis"/>
    <w:basedOn w:val="10"/>
    <w:qFormat/>
    <w:uiPriority w:val="0"/>
  </w:style>
  <w:style w:type="character" w:styleId="13">
    <w:name w:val="Hyperlink"/>
    <w:basedOn w:val="10"/>
    <w:qFormat/>
    <w:uiPriority w:val="0"/>
    <w:rPr>
      <w:color w:val="2D374B"/>
      <w:u w:val="none"/>
    </w:rPr>
  </w:style>
  <w:style w:type="character" w:styleId="14">
    <w:name w:val="annotation reference"/>
    <w:basedOn w:val="10"/>
    <w:uiPriority w:val="0"/>
    <w:rPr>
      <w:sz w:val="21"/>
      <w:szCs w:val="21"/>
    </w:rPr>
  </w:style>
  <w:style w:type="character" w:customStyle="1" w:styleId="15">
    <w:name w:val="页眉 Char"/>
    <w:basedOn w:val="10"/>
    <w:link w:val="8"/>
    <w:qFormat/>
    <w:uiPriority w:val="0"/>
    <w:rPr>
      <w:rFonts w:asciiTheme="minorHAnsi" w:hAnsiTheme="minorHAnsi" w:eastAsiaTheme="minorEastAsia" w:cstheme="minorBidi"/>
      <w:kern w:val="2"/>
      <w:sz w:val="18"/>
      <w:szCs w:val="18"/>
    </w:rPr>
  </w:style>
  <w:style w:type="character" w:customStyle="1" w:styleId="16">
    <w:name w:val="页脚 Char"/>
    <w:basedOn w:val="10"/>
    <w:link w:val="7"/>
    <w:qFormat/>
    <w:uiPriority w:val="0"/>
    <w:rPr>
      <w:rFonts w:asciiTheme="minorHAnsi" w:hAnsiTheme="minorHAnsi" w:eastAsiaTheme="minorEastAsia" w:cstheme="minorBidi"/>
      <w:kern w:val="2"/>
      <w:sz w:val="18"/>
      <w:szCs w:val="18"/>
    </w:rPr>
  </w:style>
  <w:style w:type="paragraph" w:customStyle="1" w:styleId="17">
    <w:name w:val="列出段落1"/>
    <w:basedOn w:val="1"/>
    <w:unhideWhenUsed/>
    <w:qFormat/>
    <w:uiPriority w:val="99"/>
    <w:pPr>
      <w:ind w:firstLine="420" w:firstLineChars="200"/>
    </w:pPr>
  </w:style>
  <w:style w:type="character" w:customStyle="1" w:styleId="18">
    <w:name w:val="日期 Char"/>
    <w:basedOn w:val="10"/>
    <w:link w:val="5"/>
    <w:qFormat/>
    <w:uiPriority w:val="0"/>
    <w:rPr>
      <w:rFonts w:asciiTheme="minorHAnsi" w:hAnsiTheme="minorHAnsi" w:eastAsiaTheme="minorEastAsia" w:cstheme="minorBidi"/>
      <w:kern w:val="2"/>
      <w:sz w:val="21"/>
      <w:szCs w:val="24"/>
    </w:rPr>
  </w:style>
  <w:style w:type="character" w:customStyle="1" w:styleId="19">
    <w:name w:val="批注框文本 Char"/>
    <w:basedOn w:val="10"/>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3688</Words>
  <Characters>3813</Characters>
  <Lines>26</Lines>
  <Paragraphs>7</Paragraphs>
  <TotalTime>2</TotalTime>
  <ScaleCrop>false</ScaleCrop>
  <LinksUpToDate>false</LinksUpToDate>
  <CharactersWithSpaces>3825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2017-09-04T09:30:00Z</dcterms:created>
  <dc:creator>Administrator</dc:creator>
  <cp:lastModifiedBy>Spinach</cp:lastModifiedBy>
  <cp:lastPrinted>2023-09-19T08:13:00Z</cp:lastPrinted>
  <dcterms:modified xsi:type="dcterms:W3CDTF">2025-08-30T17:45:08Z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0851DDD7EFD74316B4547FC592A7CCE3</vt:lpwstr>
  </property>
  <property fmtid="{D5CDD505-2E9C-101B-9397-08002B2CF9AE}" pid="4" name="KSOTemplateDocerSaveRecord">
    <vt:lpwstr>eyJoZGlkIjoiMzEwNTM5NzYwMDRjMzkwZTVkZjY2ODkwMGIxNGU0OTUiLCJ1c2VySWQiOiIyNjQ4MjYwNTkifQ==</vt:lpwstr>
  </property>
</Properties>
</file>